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建议提案办理情况清单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right"/>
        <w:textAlignment w:val="auto"/>
        <w:outlineLvl w:val="9"/>
        <w:rPr>
          <w:rFonts w:hint="eastAsia" w:ascii="楷体_GB2312" w:hAnsi="楷体_GB2312" w:eastAsia="楷体_GB2312" w:cs="楷体_GB2312"/>
          <w:sz w:val="28"/>
          <w:szCs w:val="28"/>
          <w:vertAlign w:val="baseline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715010</wp:posOffset>
                </wp:positionH>
                <wp:positionV relativeFrom="paragraph">
                  <wp:posOffset>116205</wp:posOffset>
                </wp:positionV>
                <wp:extent cx="1460500" cy="1828800"/>
                <wp:effectExtent l="4445" t="4445" r="20955" b="14605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050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FFFF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 w:ascii="方正楷体_GBK" w:hAnsi="方正楷体_GBK" w:eastAsia="方正楷体_GBK" w:cs="方正楷体_GBK"/>
                                <w:sz w:val="28"/>
                                <w:szCs w:val="2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楷体_GBK" w:hAnsi="方正楷体_GBK" w:eastAsia="方正楷体_GBK" w:cs="方正楷体_GBK"/>
                                <w:sz w:val="28"/>
                                <w:szCs w:val="28"/>
                                <w:vertAlign w:val="baseline"/>
                                <w:lang w:val="en-US" w:eastAsia="zh-CN"/>
                              </w:rPr>
                              <w:t>第</w:t>
                            </w:r>
                            <w:r>
                              <w:rPr>
                                <w:rFonts w:hint="default" w:ascii="Times New Roman" w:hAnsi="Times New Roman" w:eastAsia="方正仿宋_GBK" w:cs="Times New Roman"/>
                                <w:sz w:val="32"/>
                                <w:szCs w:val="32"/>
                                <w:lang w:val="en-US" w:eastAsia="zh-CN"/>
                              </w:rPr>
                              <w:t>12050</w:t>
                            </w:r>
                            <w:r>
                              <w:rPr>
                                <w:rFonts w:hint="eastAsia" w:ascii="Times New Roman" w:hAnsi="Times New Roman" w:eastAsia="方正仿宋_GBK" w:cs="Times New Roman"/>
                                <w:sz w:val="32"/>
                                <w:szCs w:val="32"/>
                                <w:lang w:val="en-US" w:eastAsia="zh-CN"/>
                              </w:rPr>
                              <w:t>304</w:t>
                            </w:r>
                            <w:r>
                              <w:rPr>
                                <w:rFonts w:hint="eastAsia" w:ascii="方正楷体_GBK" w:hAnsi="方正楷体_GBK" w:eastAsia="方正楷体_GBK" w:cs="方正楷体_GBK"/>
                                <w:sz w:val="28"/>
                                <w:szCs w:val="28"/>
                                <w:vertAlign w:val="baseline"/>
                                <w:lang w:val="en-US" w:eastAsia="zh-CN"/>
                              </w:rPr>
                              <w:t>号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6.3pt;margin-top:9.15pt;height:144pt;width:115pt;mso-wrap-distance-bottom:0pt;mso-wrap-distance-left:9pt;mso-wrap-distance-right:9pt;mso-wrap-distance-top:0pt;z-index:251658240;mso-width-relative:page;mso-height-relative:page;" fillcolor="#FFFFFF" filled="t" stroked="t" coordsize="21600,21600" o:gfxdata="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tENVltYAAAAKAQAADwAAAAAAAAABACAAAAAiAAAAZHJzL2Rvd25yZXYueG1s&#10;UEsBAhQAFAAAAAgAh07iQH8/z276AQAAEQQAAA4AAAAAAAAAAQAgAAAAJQEAAGRycy9lMm9Eb2Mu&#10;eG1sUEsFBgAAAAAGAAYAWQEAAJEFAAAAAA==&#10;">
                <v:path/>
                <v:fill on="t" color2="#FFFFFF" focussize="0,0"/>
                <v:stroke weight="0.5pt" color="#FFFFFF" joinstyle="round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ind w:left="0" w:leftChars="0" w:right="0" w:rightChars="0" w:firstLine="0" w:firstLineChars="0"/>
                        <w:jc w:val="center"/>
                        <w:textAlignment w:val="auto"/>
                        <w:outlineLvl w:val="9"/>
                        <w:rPr>
                          <w:rFonts w:hint="eastAsia" w:ascii="方正楷体_GBK" w:hAnsi="方正楷体_GBK" w:eastAsia="方正楷体_GBK" w:cs="方正楷体_GBK"/>
                          <w:sz w:val="28"/>
                          <w:szCs w:val="2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方正楷体_GBK" w:hAnsi="方正楷体_GBK" w:eastAsia="方正楷体_GBK" w:cs="方正楷体_GBK"/>
                          <w:sz w:val="28"/>
                          <w:szCs w:val="28"/>
                          <w:vertAlign w:val="baseline"/>
                          <w:lang w:val="en-US" w:eastAsia="zh-CN"/>
                        </w:rPr>
                        <w:t>第</w:t>
                      </w:r>
                      <w:r>
                        <w:rPr>
                          <w:rFonts w:hint="default" w:ascii="Times New Roman" w:hAnsi="Times New Roman" w:eastAsia="方正仿宋_GBK" w:cs="Times New Roman"/>
                          <w:sz w:val="32"/>
                          <w:szCs w:val="32"/>
                          <w:lang w:val="en-US" w:eastAsia="zh-CN"/>
                        </w:rPr>
                        <w:t>12050</w:t>
                      </w:r>
                      <w:r>
                        <w:rPr>
                          <w:rFonts w:hint="eastAsia" w:ascii="Times New Roman" w:hAnsi="Times New Roman" w:eastAsia="方正仿宋_GBK" w:cs="Times New Roman"/>
                          <w:sz w:val="32"/>
                          <w:szCs w:val="32"/>
                          <w:lang w:val="en-US" w:eastAsia="zh-CN"/>
                        </w:rPr>
                        <w:t>304</w:t>
                      </w:r>
                      <w:r>
                        <w:rPr>
                          <w:rFonts w:hint="eastAsia" w:ascii="方正楷体_GBK" w:hAnsi="方正楷体_GBK" w:eastAsia="方正楷体_GBK" w:cs="方正楷体_GBK"/>
                          <w:sz w:val="28"/>
                          <w:szCs w:val="28"/>
                          <w:vertAlign w:val="baseline"/>
                          <w:lang w:val="en-US" w:eastAsia="zh-CN"/>
                        </w:rPr>
                        <w:t>号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 w:ascii="楷体_GB2312" w:hAnsi="楷体_GB2312" w:eastAsia="楷体_GB2312" w:cs="楷体_GB2312"/>
          <w:sz w:val="28"/>
          <w:szCs w:val="28"/>
          <w:vertAlign w:val="baseline"/>
          <w:lang w:eastAsia="zh-CN"/>
        </w:rPr>
        <w:t>建议</w:t>
      </w:r>
      <w:r>
        <w:rPr>
          <w:rFonts w:hint="eastAsia" w:ascii="楷体_GB2312" w:hAnsi="楷体_GB2312" w:eastAsia="楷体_GB2312" w:cs="楷体_GB2312"/>
          <w:sz w:val="28"/>
          <w:szCs w:val="28"/>
          <w:vertAlign w:val="baseline"/>
          <w:lang w:val="en-US" w:eastAsia="zh-CN"/>
        </w:rPr>
        <w:sym w:font="Wingdings" w:char="00A8"/>
      </w:r>
      <w:r>
        <w:rPr>
          <w:rFonts w:hint="eastAsia" w:ascii="楷体_GB2312" w:hAnsi="楷体_GB2312" w:eastAsia="楷体_GB2312" w:cs="楷体_GB2312"/>
          <w:sz w:val="28"/>
          <w:szCs w:val="28"/>
          <w:vertAlign w:val="baseline"/>
          <w:lang w:val="en-US" w:eastAsia="zh-CN"/>
        </w:rPr>
        <w:t xml:space="preserve">             单独办理</w:t>
      </w:r>
      <w:r>
        <w:rPr>
          <w:rFonts w:hint="eastAsia" w:ascii="楷体_GB2312" w:hAnsi="楷体_GB2312" w:eastAsia="楷体_GB2312" w:cs="楷体_GB2312"/>
          <w:sz w:val="28"/>
          <w:szCs w:val="28"/>
          <w:vertAlign w:val="baseline"/>
          <w:lang w:val="en-US" w:eastAsia="zh-CN"/>
        </w:rPr>
        <w:sym w:font="Wingdings" w:char="00A8"/>
      </w:r>
      <w:r>
        <w:rPr>
          <w:rFonts w:hint="eastAsia" w:ascii="楷体_GB2312" w:hAnsi="楷体_GB2312" w:eastAsia="楷体_GB2312" w:cs="楷体_GB2312"/>
          <w:sz w:val="28"/>
          <w:szCs w:val="28"/>
          <w:vertAlign w:val="baseline"/>
          <w:lang w:val="en-US" w:eastAsia="zh-CN"/>
        </w:rPr>
        <w:t xml:space="preserve">     分办</w:t>
      </w:r>
      <w:r>
        <w:rPr>
          <w:rFonts w:hint="eastAsia" w:ascii="楷体_GB2312" w:hAnsi="楷体_GB2312" w:eastAsia="楷体_GB2312" w:cs="楷体_GB2312"/>
          <w:sz w:val="28"/>
          <w:szCs w:val="28"/>
          <w:vertAlign w:val="baseline"/>
          <w:lang w:val="en-US" w:eastAsia="zh-CN"/>
        </w:rPr>
        <w:sym w:font="Wingdings" w:char="00A8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  <w:vertAlign w:val="baseline"/>
          <w:lang w:eastAsia="zh-CN"/>
        </w:rPr>
        <w:t>提案</w:t>
      </w:r>
      <w:r>
        <w:rPr>
          <w:rFonts w:hint="eastAsia" w:ascii="楷体_GB2312" w:hAnsi="楷体_GB2312" w:eastAsia="楷体_GB2312" w:cs="楷体_GB2312"/>
          <w:sz w:val="28"/>
          <w:szCs w:val="28"/>
          <w:vertAlign w:val="baseline"/>
          <w:lang w:val="en-US" w:eastAsia="zh-CN"/>
        </w:rPr>
        <w:sym w:font="Wingdings" w:char="00FE"/>
      </w:r>
      <w:r>
        <w:rPr>
          <w:rFonts w:hint="eastAsia" w:ascii="楷体_GB2312" w:hAnsi="楷体_GB2312" w:eastAsia="楷体_GB2312" w:cs="楷体_GB2312"/>
          <w:sz w:val="28"/>
          <w:szCs w:val="28"/>
          <w:vertAlign w:val="baseline"/>
          <w:lang w:val="en-US" w:eastAsia="zh-CN"/>
        </w:rPr>
        <w:t xml:space="preserve">              主办</w:t>
      </w:r>
      <w:r>
        <w:rPr>
          <w:rFonts w:hint="eastAsia" w:ascii="楷体_GB2312" w:hAnsi="楷体_GB2312" w:eastAsia="楷体_GB2312" w:cs="楷体_GB2312"/>
          <w:sz w:val="28"/>
          <w:szCs w:val="28"/>
          <w:vertAlign w:val="baseline"/>
          <w:lang w:val="en-US" w:eastAsia="zh-CN"/>
        </w:rPr>
        <w:sym w:font="Wingdings" w:char="00A8"/>
      </w:r>
      <w:r>
        <w:rPr>
          <w:rFonts w:hint="eastAsia" w:ascii="楷体_GB2312" w:hAnsi="楷体_GB2312" w:eastAsia="楷体_GB2312" w:cs="楷体_GB2312"/>
          <w:sz w:val="28"/>
          <w:szCs w:val="28"/>
          <w:vertAlign w:val="baseline"/>
          <w:lang w:val="en-US" w:eastAsia="zh-CN"/>
        </w:rPr>
        <w:t xml:space="preserve">   协（会）办</w:t>
      </w:r>
      <w:r>
        <w:rPr>
          <w:rFonts w:hint="eastAsia" w:ascii="楷体_GB2312" w:hAnsi="楷体_GB2312" w:eastAsia="楷体_GB2312" w:cs="楷体_GB2312"/>
          <w:sz w:val="28"/>
          <w:szCs w:val="28"/>
          <w:vertAlign w:val="baseline"/>
          <w:lang w:val="en-US" w:eastAsia="zh-CN"/>
        </w:rPr>
        <w:sym w:font="Wingdings" w:char="00FE"/>
      </w: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570"/>
        <w:gridCol w:w="345"/>
        <w:gridCol w:w="213"/>
        <w:gridCol w:w="621"/>
        <w:gridCol w:w="621"/>
        <w:gridCol w:w="621"/>
        <w:gridCol w:w="623"/>
        <w:gridCol w:w="532"/>
        <w:gridCol w:w="909"/>
        <w:gridCol w:w="156"/>
        <w:gridCol w:w="416"/>
        <w:gridCol w:w="572"/>
        <w:gridCol w:w="572"/>
        <w:gridCol w:w="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标题</w:t>
            </w:r>
          </w:p>
        </w:tc>
        <w:tc>
          <w:tcPr>
            <w:tcW w:w="7343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关于推动我省生物多样性保护和创新利用协同发展的提案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承办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4146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云南省农业农村厅</w:t>
            </w: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承办人</w:t>
            </w:r>
          </w:p>
        </w:tc>
        <w:tc>
          <w:tcPr>
            <w:tcW w:w="213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张必广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开展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调研</w:t>
            </w:r>
          </w:p>
        </w:tc>
        <w:tc>
          <w:tcPr>
            <w:tcW w:w="17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（调研简况）</w:t>
            </w:r>
          </w:p>
        </w:tc>
        <w:tc>
          <w:tcPr>
            <w:tcW w:w="445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              是</w:t>
            </w:r>
          </w:p>
        </w:tc>
        <w:tc>
          <w:tcPr>
            <w:tcW w:w="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否</w:t>
            </w:r>
          </w:p>
        </w:tc>
        <w:tc>
          <w:tcPr>
            <w:tcW w:w="572" w:type="dxa"/>
            <w:noWrap w:val="0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协商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方式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面商</w:t>
            </w:r>
          </w:p>
        </w:tc>
        <w:tc>
          <w:tcPr>
            <w:tcW w:w="5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其他方式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（具体说明）</w:t>
            </w:r>
          </w:p>
        </w:tc>
        <w:tc>
          <w:tcPr>
            <w:tcW w:w="435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办理结果分类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A类</w:t>
            </w:r>
          </w:p>
        </w:tc>
        <w:tc>
          <w:tcPr>
            <w:tcW w:w="5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B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类</w:t>
            </w:r>
          </w:p>
        </w:tc>
        <w:tc>
          <w:tcPr>
            <w:tcW w:w="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隶书_GBK" w:hAnsi="方正隶书_GBK" w:eastAsia="方正隶书_GBK" w:cs="方正隶书_GBK"/>
                <w:sz w:val="24"/>
                <w:szCs w:val="24"/>
                <w:vertAlign w:val="baseline"/>
                <w:lang w:eastAsia="zh-CN"/>
              </w:rPr>
              <w:t>√</w:t>
            </w:r>
          </w:p>
        </w:tc>
        <w:tc>
          <w:tcPr>
            <w:tcW w:w="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C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类</w:t>
            </w:r>
          </w:p>
        </w:tc>
        <w:tc>
          <w:tcPr>
            <w:tcW w:w="6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办理结果是否公开</w:t>
            </w:r>
          </w:p>
        </w:tc>
        <w:tc>
          <w:tcPr>
            <w:tcW w:w="5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公开</w:t>
            </w:r>
          </w:p>
        </w:tc>
        <w:tc>
          <w:tcPr>
            <w:tcW w:w="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Arial" w:hAnsi="Arial" w:eastAsia="方正仿宋_GBK" w:cs="Arial"/>
                <w:sz w:val="24"/>
                <w:szCs w:val="24"/>
                <w:vertAlign w:val="baseline"/>
                <w:lang w:eastAsia="zh-CN"/>
              </w:rPr>
              <w:t>√</w:t>
            </w:r>
          </w:p>
        </w:tc>
        <w:tc>
          <w:tcPr>
            <w:tcW w:w="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不公开</w:t>
            </w:r>
          </w:p>
        </w:tc>
        <w:tc>
          <w:tcPr>
            <w:tcW w:w="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A类件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成果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转化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情况</w:t>
            </w:r>
          </w:p>
        </w:tc>
        <w:tc>
          <w:tcPr>
            <w:tcW w:w="7343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  <w:jc w:val="center"/>
        </w:trPr>
        <w:tc>
          <w:tcPr>
            <w:tcW w:w="11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B类件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情况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承诺事项及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时限</w:t>
            </w:r>
          </w:p>
        </w:tc>
        <w:tc>
          <w:tcPr>
            <w:tcW w:w="642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所提意见和建议正在积极推进落实之中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17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责任单位</w:t>
            </w:r>
          </w:p>
        </w:tc>
        <w:tc>
          <w:tcPr>
            <w:tcW w:w="642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default" w:ascii="Times New Roman" w:hAnsi="Times New Roman" w:eastAsia="方正仿宋_GBK" w:cs="Times New Roman"/>
          <w:sz w:val="24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32"/>
          <w:lang w:eastAsia="zh-CN"/>
        </w:rPr>
        <w:t>注：</w:t>
      </w:r>
      <w:r>
        <w:rPr>
          <w:rFonts w:hint="default" w:ascii="Times New Roman" w:hAnsi="Times New Roman" w:eastAsia="方正仿宋_GBK" w:cs="Times New Roman"/>
          <w:sz w:val="24"/>
          <w:szCs w:val="32"/>
          <w:lang w:val="en-US" w:eastAsia="zh-CN"/>
        </w:rPr>
        <w:t>1.A类件成果转化情况：采纳意见、建议出台的政策、文件，解决的实际问题。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4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24"/>
          <w:szCs w:val="32"/>
          <w:lang w:val="en-US" w:eastAsia="zh-CN"/>
        </w:rPr>
        <w:t>B类件承诺事项及时限：复文中承诺解决和落实的具体内容及完成时限。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4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z w:val="24"/>
          <w:szCs w:val="32"/>
          <w:lang w:val="en-US" w:eastAsia="zh-CN"/>
        </w:rPr>
        <w:t>责任单位：作出承诺事项的承办单位</w:t>
      </w:r>
      <w:r>
        <w:rPr>
          <w:rFonts w:hint="eastAsia" w:ascii="Times New Roman" w:hAnsi="Times New Roman" w:eastAsia="方正仿宋_GBK" w:cs="Times New Roman"/>
          <w:sz w:val="24"/>
          <w:szCs w:val="32"/>
          <w:lang w:val="en-US" w:eastAsia="zh-CN"/>
        </w:rPr>
        <w:t>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587" w:bottom="1270" w:left="1587" w:header="851" w:footer="992" w:gutter="0"/>
      <w:pgNumType w:fmt="decimal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隶书_GBK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1A5DED"/>
    <w:rsid w:val="601A5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其他...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2022-06-01T07:24:00Z</dcterms:created>
  <dc:creator>lenovo</dc:creator>
  <cp:lastModifiedBy>lenovo</cp:lastModifiedBy>
  <dcterms:modified xsi:type="dcterms:W3CDTF">2022-06-01T07:26:31Z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