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6A7B3">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2</w:t>
      </w:r>
    </w:p>
    <w:p w14:paraId="2122D081">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000000"/>
          <w:sz w:val="44"/>
          <w:szCs w:val="44"/>
          <w:highlight w:val="none"/>
        </w:rPr>
      </w:pPr>
    </w:p>
    <w:p w14:paraId="7903DD0B">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云南省</w:t>
      </w:r>
      <w:r>
        <w:rPr>
          <w:rFonts w:hint="eastAsia" w:ascii="方正小标宋简体" w:hAnsi="方正小标宋简体" w:eastAsia="方正小标宋简体" w:cs="方正小标宋简体"/>
          <w:color w:val="000000"/>
          <w:sz w:val="44"/>
          <w:szCs w:val="44"/>
          <w:highlight w:val="none"/>
          <w:lang w:val="en-US" w:eastAsia="zh-CN"/>
        </w:rPr>
        <w:t>2025</w:t>
      </w:r>
      <w:r>
        <w:rPr>
          <w:rFonts w:hint="eastAsia" w:ascii="方正小标宋简体" w:hAnsi="方正小标宋简体" w:eastAsia="方正小标宋简体" w:cs="方正小标宋简体"/>
          <w:color w:val="000000"/>
          <w:sz w:val="44"/>
          <w:szCs w:val="44"/>
          <w:highlight w:val="none"/>
          <w:shd w:val="clear" w:color="auto" w:fill="FFFFFF"/>
          <w:lang w:val="en-US" w:eastAsia="zh-CN"/>
        </w:rPr>
        <w:t>—</w:t>
      </w:r>
      <w:r>
        <w:rPr>
          <w:rFonts w:hint="eastAsia" w:ascii="方正小标宋简体" w:hAnsi="方正小标宋简体" w:eastAsia="方正小标宋简体" w:cs="方正小标宋简体"/>
          <w:color w:val="000000"/>
          <w:sz w:val="44"/>
          <w:szCs w:val="44"/>
          <w:highlight w:val="none"/>
          <w:lang w:val="en-US" w:eastAsia="zh-CN"/>
        </w:rPr>
        <w:t>2027年度</w:t>
      </w:r>
      <w:r>
        <w:rPr>
          <w:rFonts w:hint="eastAsia" w:ascii="方正小标宋简体" w:hAnsi="方正小标宋简体" w:eastAsia="方正小标宋简体" w:cs="方正小标宋简体"/>
          <w:color w:val="000000"/>
          <w:sz w:val="44"/>
          <w:szCs w:val="44"/>
          <w:highlight w:val="none"/>
          <w:lang w:eastAsia="zh-CN"/>
        </w:rPr>
        <w:t>新增设施农业</w:t>
      </w:r>
      <w:r>
        <w:rPr>
          <w:rFonts w:hint="eastAsia" w:ascii="方正小标宋简体" w:hAnsi="方正小标宋简体" w:eastAsia="方正小标宋简体" w:cs="方正小标宋简体"/>
          <w:color w:val="000000"/>
          <w:sz w:val="44"/>
          <w:szCs w:val="44"/>
          <w:highlight w:val="none"/>
        </w:rPr>
        <w:t>贷款</w:t>
      </w:r>
    </w:p>
    <w:p w14:paraId="69E6EC9F">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贴息补助申报指南</w:t>
      </w:r>
    </w:p>
    <w:p w14:paraId="05FBC54E">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eastAsia" w:ascii="仿宋_GB2312" w:hAnsi="仿宋_GB2312" w:eastAsia="仿宋_GB2312" w:cs="仿宋_GB2312"/>
          <w:color w:val="000000"/>
          <w:sz w:val="32"/>
          <w:szCs w:val="32"/>
          <w:highlight w:val="none"/>
        </w:rPr>
      </w:pPr>
      <w:bookmarkStart w:id="0" w:name="_GoBack"/>
      <w:bookmarkEnd w:id="0"/>
    </w:p>
    <w:p w14:paraId="4BD30527">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rPr>
      </w:pPr>
      <w:r>
        <w:rPr>
          <w:rFonts w:hint="default" w:ascii="Times New Roman" w:hAnsi="Times New Roman" w:eastAsia="方正仿宋_GBK" w:cs="Times New Roman"/>
          <w:bCs/>
          <w:color w:val="auto"/>
          <w:kern w:val="2"/>
          <w:sz w:val="32"/>
          <w:szCs w:val="32"/>
          <w:lang w:val="en-US" w:eastAsia="zh-CN" w:bidi="ar-SA"/>
        </w:rPr>
        <w:t>按照</w:t>
      </w:r>
      <w:r>
        <w:rPr>
          <w:rFonts w:hint="eastAsia" w:eastAsia="方正仿宋_GBK" w:cs="Times New Roman"/>
          <w:bCs/>
          <w:color w:val="auto"/>
          <w:kern w:val="2"/>
          <w:sz w:val="32"/>
          <w:szCs w:val="32"/>
          <w:lang w:val="en-US" w:eastAsia="zh-CN" w:bidi="ar-SA"/>
        </w:rPr>
        <w:t>云南省人民政府办公厅</w:t>
      </w:r>
      <w:r>
        <w:rPr>
          <w:rFonts w:hint="default" w:ascii="Times New Roman" w:hAnsi="Times New Roman" w:eastAsia="方正仿宋_GBK" w:cs="Times New Roman"/>
          <w:bCs/>
          <w:color w:val="auto"/>
          <w:kern w:val="2"/>
          <w:sz w:val="32"/>
          <w:szCs w:val="32"/>
          <w:lang w:val="en-US" w:eastAsia="zh-CN" w:bidi="ar-SA"/>
        </w:rPr>
        <w:t>《关于继续实施新增设施农业投资奖补和贷款贴息政策请示事项办理情况的函》</w:t>
      </w:r>
      <w:r>
        <w:rPr>
          <w:rFonts w:hint="eastAsia" w:ascii="Times New Roman" w:hAnsi="Times New Roman" w:eastAsia="方正仿宋_GBK" w:cs="Times New Roman"/>
          <w:bCs/>
          <w:color w:val="auto"/>
          <w:kern w:val="2"/>
          <w:sz w:val="32"/>
          <w:szCs w:val="32"/>
          <w:lang w:val="en-US" w:eastAsia="zh-CN" w:bidi="ar-SA"/>
        </w:rPr>
        <w:t>要求</w:t>
      </w:r>
      <w:r>
        <w:rPr>
          <w:rFonts w:hint="eastAsia" w:ascii="方正仿宋_GBK" w:hAnsi="方正仿宋_GBK" w:eastAsia="方正仿宋_GBK" w:cs="方正仿宋_GBK"/>
          <w:color w:val="000000"/>
          <w:sz w:val="32"/>
          <w:szCs w:val="32"/>
          <w:highlight w:val="none"/>
          <w:lang w:eastAsia="zh-CN"/>
        </w:rPr>
        <w:t>，为鼓励支持农业经营主体在云南省内投资经营现代设施农业，</w:t>
      </w:r>
      <w:r>
        <w:rPr>
          <w:rFonts w:hint="eastAsia" w:ascii="方正仿宋_GBK" w:hAnsi="方正仿宋_GBK" w:eastAsia="方正仿宋_GBK" w:cs="方正仿宋_GBK"/>
          <w:color w:val="000000"/>
          <w:sz w:val="32"/>
          <w:szCs w:val="32"/>
          <w:highlight w:val="none"/>
        </w:rPr>
        <w:t>特制定本指南。</w:t>
      </w:r>
    </w:p>
    <w:p w14:paraId="723FCEF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一、支持对象</w:t>
      </w:r>
    </w:p>
    <w:p w14:paraId="3BDDE8AE">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000000"/>
          <w:sz w:val="32"/>
          <w:szCs w:val="32"/>
          <w:highlight w:val="none"/>
          <w:lang w:eastAsia="zh-CN"/>
        </w:rPr>
        <w:t>在云南省内投资经营设施农业的农业经营主体</w:t>
      </w:r>
      <w:r>
        <w:rPr>
          <w:rFonts w:hint="eastAsia" w:ascii="方正仿宋_GBK" w:hAnsi="方正仿宋_GBK" w:eastAsia="方正仿宋_GBK" w:cs="方正仿宋_GBK"/>
          <w:color w:val="auto"/>
          <w:sz w:val="32"/>
          <w:szCs w:val="32"/>
          <w:highlight w:val="none"/>
          <w:lang w:eastAsia="zh-CN"/>
        </w:rPr>
        <w:t>。</w:t>
      </w:r>
    </w:p>
    <w:p w14:paraId="42790BC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二、支持范围和标准</w:t>
      </w:r>
    </w:p>
    <w:p w14:paraId="470750D5">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lang w:val="en-US" w:eastAsia="zh-CN"/>
        </w:rPr>
        <w:t>2025</w:t>
      </w:r>
      <w:r>
        <w:rPr>
          <w:rFonts w:hint="eastAsia" w:ascii="方正仿宋_GBK" w:hAnsi="方正仿宋_GBK" w:eastAsia="方正仿宋_GBK" w:cs="方正仿宋_GBK"/>
          <w:color w:val="000000"/>
          <w:sz w:val="32"/>
          <w:szCs w:val="32"/>
          <w:highlight w:val="none"/>
          <w:shd w:val="clear" w:color="auto" w:fill="FFFFFF"/>
          <w:lang w:val="en-US" w:eastAsia="zh-CN"/>
        </w:rPr>
        <w:t>—</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7</w:t>
      </w:r>
      <w:r>
        <w:rPr>
          <w:rFonts w:hint="eastAsia" w:ascii="方正仿宋_GBK" w:hAnsi="方正仿宋_GBK" w:eastAsia="方正仿宋_GBK" w:cs="方正仿宋_GBK"/>
          <w:color w:val="000000"/>
          <w:sz w:val="32"/>
          <w:szCs w:val="32"/>
          <w:highlight w:val="none"/>
        </w:rPr>
        <w:t>年</w:t>
      </w:r>
      <w:r>
        <w:rPr>
          <w:rFonts w:hint="eastAsia" w:ascii="方正仿宋_GBK" w:hAnsi="方正仿宋_GBK" w:eastAsia="方正仿宋_GBK" w:cs="方正仿宋_GBK"/>
          <w:color w:val="000000"/>
          <w:sz w:val="32"/>
          <w:szCs w:val="32"/>
          <w:highlight w:val="none"/>
          <w:lang w:eastAsia="zh-CN"/>
        </w:rPr>
        <w:t>内，农业经营主体当年度新增</w:t>
      </w:r>
      <w:r>
        <w:rPr>
          <w:rFonts w:hint="eastAsia" w:ascii="方正仿宋_GBK" w:hAnsi="方正仿宋_GBK" w:eastAsia="方正仿宋_GBK" w:cs="方正仿宋_GBK"/>
          <w:color w:val="000000"/>
          <w:sz w:val="32"/>
          <w:szCs w:val="32"/>
          <w:highlight w:val="none"/>
          <w:lang w:val="en-US" w:eastAsia="zh-CN"/>
        </w:rPr>
        <w:t>用于设施农业生产经营所</w:t>
      </w:r>
      <w:r>
        <w:rPr>
          <w:rFonts w:hint="eastAsia" w:ascii="方正仿宋_GBK" w:hAnsi="方正仿宋_GBK" w:eastAsia="方正仿宋_GBK" w:cs="方正仿宋_GBK"/>
          <w:color w:val="000000"/>
          <w:sz w:val="32"/>
          <w:szCs w:val="32"/>
          <w:highlight w:val="none"/>
          <w:shd w:val="clear" w:color="auto" w:fill="FFFFFF"/>
          <w:lang w:val="en-US" w:eastAsia="zh-CN"/>
        </w:rPr>
        <w:t>必需的基础设施</w:t>
      </w:r>
      <w:r>
        <w:rPr>
          <w:rFonts w:hint="eastAsia" w:ascii="方正仿宋_GBK" w:hAnsi="方正仿宋_GBK" w:eastAsia="方正仿宋_GBK" w:cs="方正仿宋_GBK"/>
          <w:color w:val="000000"/>
          <w:sz w:val="32"/>
          <w:szCs w:val="32"/>
          <w:highlight w:val="none"/>
          <w:lang w:val="en-US" w:eastAsia="zh-CN"/>
        </w:rPr>
        <w:t>、固定资产设备的</w:t>
      </w:r>
      <w:r>
        <w:rPr>
          <w:rFonts w:hint="eastAsia" w:ascii="方正仿宋_GBK" w:hAnsi="方正仿宋_GBK" w:eastAsia="方正仿宋_GBK" w:cs="方正仿宋_GBK"/>
          <w:color w:val="000000"/>
          <w:sz w:val="32"/>
          <w:szCs w:val="32"/>
          <w:highlight w:val="none"/>
          <w:lang w:eastAsia="zh-CN"/>
        </w:rPr>
        <w:t>贷款，按贴息比例不高于同期同档次</w:t>
      </w:r>
      <w:r>
        <w:rPr>
          <w:rFonts w:hint="eastAsia" w:ascii="方正仿宋_GBK" w:hAnsi="方正仿宋_GBK" w:eastAsia="方正仿宋_GBK" w:cs="方正仿宋_GBK"/>
          <w:color w:val="000000"/>
          <w:sz w:val="32"/>
          <w:szCs w:val="32"/>
          <w:highlight w:val="none"/>
          <w:lang w:val="en-US" w:eastAsia="zh-CN"/>
        </w:rPr>
        <w:t>LPR的70%且不超过2%，单个主体不超过200万元的规定予以贴息</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color w:val="000000"/>
          <w:sz w:val="32"/>
          <w:szCs w:val="32"/>
          <w:highlight w:val="none"/>
          <w:lang w:val="en-US" w:eastAsia="zh-CN"/>
        </w:rPr>
        <w:t>贴息资金按年度申报，当年度申报期限不超过一年。</w:t>
      </w:r>
      <w:r>
        <w:rPr>
          <w:rFonts w:hint="eastAsia" w:ascii="方正仿宋_GBK" w:hAnsi="方正仿宋_GBK" w:eastAsia="方正仿宋_GBK" w:cs="方正仿宋_GBK"/>
          <w:color w:val="000000"/>
          <w:sz w:val="32"/>
          <w:szCs w:val="32"/>
          <w:highlight w:val="none"/>
        </w:rPr>
        <w:t>已享受其他财政贴息政策的贷款，不再享受本项贴息政策</w:t>
      </w:r>
      <w:r>
        <w:rPr>
          <w:rFonts w:hint="eastAsia" w:ascii="方正仿宋_GBK" w:hAnsi="方正仿宋_GBK" w:eastAsia="方正仿宋_GBK" w:cs="方正仿宋_GBK"/>
          <w:color w:val="000000"/>
          <w:sz w:val="32"/>
          <w:szCs w:val="32"/>
          <w:highlight w:val="none"/>
          <w:lang w:eastAsia="zh-CN"/>
        </w:rPr>
        <w:t>，实际应贴息金额低于</w:t>
      </w:r>
      <w:r>
        <w:rPr>
          <w:rFonts w:hint="eastAsia" w:ascii="方正仿宋_GBK" w:hAnsi="方正仿宋_GBK" w:eastAsia="方正仿宋_GBK" w:cs="方正仿宋_GBK"/>
          <w:color w:val="000000"/>
          <w:sz w:val="32"/>
          <w:szCs w:val="32"/>
          <w:highlight w:val="none"/>
          <w:lang w:val="en-US" w:eastAsia="zh-CN"/>
        </w:rPr>
        <w:t>1万元的不予贴息，设施农业涵盖</w:t>
      </w:r>
      <w:r>
        <w:rPr>
          <w:rFonts w:hint="eastAsia" w:ascii="方正仿宋_GBK" w:hAnsi="方正仿宋_GBK" w:eastAsia="方正仿宋_GBK" w:cs="方正仿宋_GBK"/>
          <w:color w:val="000000"/>
          <w:sz w:val="32"/>
          <w:szCs w:val="32"/>
          <w:highlight w:val="none"/>
          <w:lang w:eastAsia="zh-CN"/>
        </w:rPr>
        <w:t>设施种植、设施养殖、设施渔业。</w:t>
      </w:r>
    </w:p>
    <w:p w14:paraId="42A3EE9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三、申报条件</w:t>
      </w:r>
    </w:p>
    <w:p w14:paraId="3FE31BBC">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（一）贷款</w:t>
      </w:r>
      <w:r>
        <w:rPr>
          <w:rFonts w:hint="eastAsia" w:ascii="方正仿宋_GBK" w:hAnsi="方正仿宋_GBK" w:eastAsia="方正仿宋_GBK" w:cs="方正仿宋_GBK"/>
          <w:color w:val="000000"/>
          <w:sz w:val="32"/>
          <w:szCs w:val="32"/>
          <w:highlight w:val="none"/>
          <w:lang w:eastAsia="zh-CN"/>
        </w:rPr>
        <w:t>发放银行为在云南省内具有实体经营分支机构的商业银行、政策性银行和信用社等</w:t>
      </w:r>
      <w:r>
        <w:rPr>
          <w:rFonts w:hint="eastAsia" w:ascii="方正仿宋_GBK" w:hAnsi="方正仿宋_GBK" w:eastAsia="方正仿宋_GBK" w:cs="方正仿宋_GBK"/>
          <w:color w:val="000000"/>
          <w:sz w:val="32"/>
          <w:szCs w:val="32"/>
          <w:highlight w:val="none"/>
        </w:rPr>
        <w:t>，实际用途</w:t>
      </w:r>
      <w:r>
        <w:rPr>
          <w:rFonts w:hint="eastAsia" w:ascii="方正仿宋_GBK" w:hAnsi="方正仿宋_GBK" w:eastAsia="方正仿宋_GBK" w:cs="方正仿宋_GBK"/>
          <w:color w:val="000000"/>
          <w:sz w:val="32"/>
          <w:szCs w:val="32"/>
          <w:highlight w:val="none"/>
          <w:lang w:eastAsia="zh-CN"/>
        </w:rPr>
        <w:t>必须</w:t>
      </w:r>
      <w:r>
        <w:rPr>
          <w:rFonts w:hint="eastAsia" w:ascii="方正仿宋_GBK" w:hAnsi="方正仿宋_GBK" w:eastAsia="方正仿宋_GBK" w:cs="方正仿宋_GBK"/>
          <w:color w:val="000000"/>
          <w:sz w:val="32"/>
          <w:szCs w:val="32"/>
          <w:highlight w:val="none"/>
        </w:rPr>
        <w:t>符合贷款合同约定</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不存在贷款逾期或其他违约行为</w:t>
      </w:r>
      <w:r>
        <w:rPr>
          <w:rFonts w:hint="eastAsia" w:ascii="方正仿宋_GBK" w:hAnsi="方正仿宋_GBK" w:eastAsia="方正仿宋_GBK" w:cs="方正仿宋_GBK"/>
          <w:color w:val="000000"/>
          <w:sz w:val="32"/>
          <w:szCs w:val="32"/>
          <w:highlight w:val="none"/>
          <w:lang w:eastAsia="zh-CN"/>
        </w:rPr>
        <w:t>。</w:t>
      </w:r>
    </w:p>
    <w:p w14:paraId="38F02B23">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（二）贷款</w:t>
      </w:r>
      <w:r>
        <w:rPr>
          <w:rFonts w:hint="eastAsia" w:ascii="方正仿宋_GBK" w:hAnsi="方正仿宋_GBK" w:eastAsia="方正仿宋_GBK" w:cs="方正仿宋_GBK"/>
          <w:color w:val="000000"/>
          <w:sz w:val="32"/>
          <w:szCs w:val="32"/>
          <w:highlight w:val="none"/>
          <w:lang w:val="en-US" w:eastAsia="zh-CN"/>
        </w:rPr>
        <w:t>主体</w:t>
      </w:r>
      <w:r>
        <w:rPr>
          <w:rFonts w:hint="eastAsia" w:ascii="方正仿宋_GBK" w:hAnsi="方正仿宋_GBK" w:eastAsia="方正仿宋_GBK" w:cs="方正仿宋_GBK"/>
          <w:color w:val="000000"/>
          <w:sz w:val="32"/>
          <w:szCs w:val="32"/>
          <w:highlight w:val="none"/>
        </w:rPr>
        <w:t>必须与实际使用贷款</w:t>
      </w:r>
      <w:r>
        <w:rPr>
          <w:rFonts w:hint="eastAsia" w:ascii="方正仿宋_GBK" w:hAnsi="方正仿宋_GBK" w:eastAsia="方正仿宋_GBK" w:cs="方正仿宋_GBK"/>
          <w:color w:val="000000"/>
          <w:sz w:val="32"/>
          <w:szCs w:val="32"/>
          <w:highlight w:val="none"/>
          <w:lang w:val="en-US" w:eastAsia="zh-CN"/>
        </w:rPr>
        <w:t>主体</w:t>
      </w:r>
      <w:r>
        <w:rPr>
          <w:rFonts w:hint="eastAsia" w:ascii="方正仿宋_GBK" w:hAnsi="方正仿宋_GBK" w:eastAsia="方正仿宋_GBK" w:cs="方正仿宋_GBK"/>
          <w:color w:val="000000"/>
          <w:sz w:val="32"/>
          <w:szCs w:val="32"/>
          <w:highlight w:val="none"/>
        </w:rPr>
        <w:t>一致</w:t>
      </w:r>
      <w:r>
        <w:rPr>
          <w:rFonts w:hint="eastAsia" w:ascii="方正仿宋_GBK" w:hAnsi="方正仿宋_GBK" w:eastAsia="方正仿宋_GBK" w:cs="方正仿宋_GBK"/>
          <w:color w:val="000000"/>
          <w:sz w:val="32"/>
          <w:szCs w:val="32"/>
          <w:highlight w:val="none"/>
          <w:lang w:eastAsia="zh-CN"/>
        </w:rPr>
        <w:t>，以个人名义（含企业法定代表人）贷款给企业等单位组织实际使用的，</w:t>
      </w:r>
      <w:r>
        <w:rPr>
          <w:rFonts w:hint="eastAsia" w:ascii="方正仿宋_GBK" w:hAnsi="方正仿宋_GBK" w:eastAsia="方正仿宋_GBK" w:cs="方正仿宋_GBK"/>
          <w:color w:val="000000"/>
          <w:sz w:val="32"/>
          <w:szCs w:val="32"/>
          <w:highlight w:val="none"/>
          <w:lang w:val="en-US" w:eastAsia="zh-CN"/>
        </w:rPr>
        <w:t>不得申报贴息</w:t>
      </w:r>
      <w:r>
        <w:rPr>
          <w:rFonts w:hint="eastAsia" w:ascii="方正仿宋_GBK" w:hAnsi="方正仿宋_GBK" w:eastAsia="方正仿宋_GBK" w:cs="方正仿宋_GBK"/>
          <w:color w:val="000000"/>
          <w:sz w:val="32"/>
          <w:szCs w:val="32"/>
          <w:highlight w:val="none"/>
        </w:rPr>
        <w:t>。</w:t>
      </w:r>
    </w:p>
    <w:p w14:paraId="10B2BDCA">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三</w:t>
      </w:r>
      <w:r>
        <w:rPr>
          <w:rFonts w:hint="eastAsia" w:ascii="方正仿宋_GBK" w:hAnsi="方正仿宋_GBK" w:eastAsia="方正仿宋_GBK" w:cs="方正仿宋_GBK"/>
          <w:color w:val="000000"/>
          <w:sz w:val="32"/>
          <w:szCs w:val="32"/>
          <w:highlight w:val="none"/>
          <w:lang w:eastAsia="zh-CN"/>
        </w:rPr>
        <w:t>）贷款主体</w:t>
      </w:r>
      <w:r>
        <w:rPr>
          <w:rFonts w:hint="eastAsia" w:ascii="方正仿宋_GBK" w:hAnsi="方正仿宋_GBK" w:eastAsia="方正仿宋_GBK" w:cs="方正仿宋_GBK"/>
          <w:bCs/>
          <w:color w:val="auto"/>
          <w:kern w:val="2"/>
          <w:sz w:val="32"/>
          <w:szCs w:val="32"/>
          <w:highlight w:val="none"/>
          <w:lang w:val="en-US" w:eastAsia="zh-CN" w:bidi="ar-SA"/>
        </w:rPr>
        <w:t>近三年内（2025年度贴息对应2023—2025年、2026年度贴息对应2024—2026年、2027年度贴息对应2025—2027年）</w:t>
      </w:r>
      <w:r>
        <w:rPr>
          <w:rFonts w:hint="eastAsia" w:ascii="方正仿宋_GBK" w:hAnsi="方正仿宋_GBK" w:eastAsia="方正仿宋_GBK" w:cs="方正仿宋_GBK"/>
          <w:color w:val="000000"/>
          <w:sz w:val="32"/>
          <w:szCs w:val="32"/>
          <w:highlight w:val="none"/>
          <w:lang w:val="en-US" w:eastAsia="zh-CN"/>
        </w:rPr>
        <w:t>在社会信用、安全生产、产品质量、缴纳税收、生态环保、涉黑涉恶、</w:t>
      </w:r>
      <w:r>
        <w:rPr>
          <w:rFonts w:hint="eastAsia" w:ascii="方正仿宋_GBK" w:hAnsi="方正仿宋_GBK" w:eastAsia="方正仿宋_GBK" w:cs="方正仿宋_GBK"/>
          <w:bCs/>
          <w:color w:val="auto"/>
          <w:kern w:val="2"/>
          <w:sz w:val="32"/>
          <w:szCs w:val="32"/>
          <w:highlight w:val="none"/>
          <w:lang w:val="en-US" w:eastAsia="zh-CN" w:bidi="ar-SA"/>
        </w:rPr>
        <w:t>金融监管、</w:t>
      </w:r>
      <w:r>
        <w:rPr>
          <w:rFonts w:hint="eastAsia" w:ascii="方正仿宋_GBK" w:hAnsi="方正仿宋_GBK" w:eastAsia="方正仿宋_GBK" w:cs="方正仿宋_GBK"/>
          <w:color w:val="000000"/>
          <w:sz w:val="32"/>
          <w:szCs w:val="32"/>
          <w:highlight w:val="none"/>
          <w:lang w:val="en-US" w:eastAsia="zh-CN"/>
        </w:rPr>
        <w:t>保障农民工工资、诉讼等方面无不良记录。</w:t>
      </w:r>
    </w:p>
    <w:p w14:paraId="2E9A1E02">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（四）对</w:t>
      </w:r>
      <w:r>
        <w:rPr>
          <w:rFonts w:hint="eastAsia" w:ascii="方正仿宋_GBK" w:hAnsi="方正仿宋_GBK" w:eastAsia="方正仿宋_GBK" w:cs="方正仿宋_GBK"/>
          <w:color w:val="000000"/>
          <w:sz w:val="32"/>
          <w:szCs w:val="32"/>
          <w:highlight w:val="none"/>
          <w:lang w:eastAsia="zh-CN"/>
        </w:rPr>
        <w:t>享受过《云南省2025—2027年度新增设施农业投资项目奖补资金申报指南》的项目涉及贷款</w:t>
      </w:r>
      <w:r>
        <w:rPr>
          <w:rFonts w:hint="eastAsia" w:ascii="方正仿宋_GBK" w:hAnsi="方正仿宋_GBK" w:eastAsia="方正仿宋_GBK" w:cs="方正仿宋_GBK"/>
          <w:color w:val="000000"/>
          <w:sz w:val="32"/>
          <w:szCs w:val="32"/>
          <w:highlight w:val="none"/>
          <w:lang w:val="en-US" w:eastAsia="zh-CN"/>
        </w:rPr>
        <w:t>，不再重复奖补；对已获得过其他财政贴息资金的项目，不再重复奖补</w:t>
      </w:r>
      <w:r>
        <w:rPr>
          <w:rFonts w:hint="eastAsia" w:ascii="方正仿宋_GBK" w:hAnsi="方正仿宋_GBK" w:eastAsia="方正仿宋_GBK" w:cs="方正仿宋_GBK"/>
          <w:color w:val="000000"/>
          <w:sz w:val="32"/>
          <w:szCs w:val="32"/>
          <w:highlight w:val="none"/>
        </w:rPr>
        <w:t>。</w:t>
      </w:r>
    </w:p>
    <w:p w14:paraId="5B16A1B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四、申报材料</w:t>
      </w:r>
    </w:p>
    <w:p w14:paraId="0FB30239">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000000"/>
          <w:sz w:val="32"/>
          <w:szCs w:val="32"/>
          <w:highlight w:val="none"/>
        </w:rPr>
        <w:t>营业执照</w:t>
      </w:r>
      <w:r>
        <w:rPr>
          <w:rFonts w:hint="eastAsia" w:ascii="方正仿宋_GBK" w:hAnsi="方正仿宋_GBK" w:eastAsia="方正仿宋_GBK" w:cs="方正仿宋_GBK"/>
          <w:color w:val="000000"/>
          <w:sz w:val="32"/>
          <w:szCs w:val="32"/>
          <w:highlight w:val="none"/>
          <w:lang w:eastAsia="zh-CN"/>
        </w:rPr>
        <w:t>（或身份证）</w:t>
      </w:r>
      <w:r>
        <w:rPr>
          <w:rFonts w:hint="eastAsia" w:ascii="方正仿宋_GBK" w:hAnsi="方正仿宋_GBK" w:eastAsia="方正仿宋_GBK" w:cs="方正仿宋_GBK"/>
          <w:color w:val="000000"/>
          <w:sz w:val="32"/>
          <w:szCs w:val="32"/>
          <w:highlight w:val="none"/>
        </w:rPr>
        <w:t>、征信报告（自主查询版）、</w:t>
      </w:r>
      <w:r>
        <w:rPr>
          <w:rFonts w:hint="eastAsia" w:ascii="方正仿宋_GBK" w:hAnsi="方正仿宋_GBK" w:eastAsia="方正仿宋_GBK" w:cs="方正仿宋_GBK"/>
          <w:color w:val="000000"/>
          <w:sz w:val="32"/>
          <w:szCs w:val="32"/>
          <w:highlight w:val="none"/>
          <w:lang w:eastAsia="zh-CN"/>
        </w:rPr>
        <w:t>申报贴息年度</w:t>
      </w:r>
      <w:r>
        <w:rPr>
          <w:rFonts w:hint="eastAsia" w:ascii="方正仿宋_GBK" w:hAnsi="方正仿宋_GBK" w:eastAsia="方正仿宋_GBK" w:cs="方正仿宋_GBK"/>
          <w:color w:val="000000"/>
          <w:sz w:val="32"/>
          <w:szCs w:val="32"/>
          <w:highlight w:val="none"/>
          <w:lang w:val="en-US" w:eastAsia="zh-CN"/>
        </w:rPr>
        <w:t>1月1日—12月31日期间的新增贷款合同（2025年度对应2025年1月1日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5</w:t>
      </w:r>
      <w:r>
        <w:rPr>
          <w:rFonts w:hint="eastAsia" w:ascii="方正仿宋_GBK" w:hAnsi="方正仿宋_GBK" w:eastAsia="方正仿宋_GBK" w:cs="方正仿宋_GBK"/>
          <w:color w:val="000000"/>
          <w:sz w:val="32"/>
          <w:szCs w:val="32"/>
          <w:highlight w:val="none"/>
        </w:rPr>
        <w:t>年12月31日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2026年度对应</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6</w:t>
      </w:r>
      <w:r>
        <w:rPr>
          <w:rFonts w:hint="eastAsia" w:ascii="方正仿宋_GBK" w:hAnsi="方正仿宋_GBK" w:eastAsia="方正仿宋_GBK" w:cs="方正仿宋_GBK"/>
          <w:color w:val="000000"/>
          <w:sz w:val="32"/>
          <w:szCs w:val="32"/>
          <w:highlight w:val="none"/>
        </w:rPr>
        <w:t>年1月1日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6</w:t>
      </w:r>
      <w:r>
        <w:rPr>
          <w:rFonts w:hint="eastAsia" w:ascii="方正仿宋_GBK" w:hAnsi="方正仿宋_GBK" w:eastAsia="方正仿宋_GBK" w:cs="方正仿宋_GBK"/>
          <w:color w:val="000000"/>
          <w:sz w:val="32"/>
          <w:szCs w:val="32"/>
          <w:highlight w:val="none"/>
        </w:rPr>
        <w:t>年12月31日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2027年度对应</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7</w:t>
      </w:r>
      <w:r>
        <w:rPr>
          <w:rFonts w:hint="eastAsia" w:ascii="方正仿宋_GBK" w:hAnsi="方正仿宋_GBK" w:eastAsia="方正仿宋_GBK" w:cs="方正仿宋_GBK"/>
          <w:color w:val="000000"/>
          <w:sz w:val="32"/>
          <w:szCs w:val="32"/>
          <w:highlight w:val="none"/>
        </w:rPr>
        <w:t>年1月1日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202</w:t>
      </w:r>
      <w:r>
        <w:rPr>
          <w:rFonts w:hint="eastAsia" w:ascii="方正仿宋_GBK" w:hAnsi="方正仿宋_GBK" w:eastAsia="方正仿宋_GBK" w:cs="方正仿宋_GBK"/>
          <w:color w:val="000000"/>
          <w:sz w:val="32"/>
          <w:szCs w:val="32"/>
          <w:highlight w:val="none"/>
          <w:lang w:val="en-US" w:eastAsia="zh-CN"/>
        </w:rPr>
        <w:t>7</w:t>
      </w:r>
      <w:r>
        <w:rPr>
          <w:rFonts w:hint="eastAsia" w:ascii="方正仿宋_GBK" w:hAnsi="方正仿宋_GBK" w:eastAsia="方正仿宋_GBK" w:cs="方正仿宋_GBK"/>
          <w:color w:val="000000"/>
          <w:sz w:val="32"/>
          <w:szCs w:val="32"/>
          <w:highlight w:val="none"/>
        </w:rPr>
        <w:t>年12月31日</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、贷款发放凭证、利息支付凭证</w:t>
      </w:r>
      <w:r>
        <w:rPr>
          <w:rFonts w:hint="eastAsia" w:ascii="方正仿宋_GBK" w:hAnsi="方正仿宋_GBK" w:eastAsia="方正仿宋_GBK" w:cs="方正仿宋_GBK"/>
          <w:color w:val="000000"/>
          <w:sz w:val="32"/>
          <w:szCs w:val="32"/>
          <w:highlight w:val="none"/>
          <w:lang w:eastAsia="zh-CN"/>
        </w:rPr>
        <w:t>、农业经营主体</w:t>
      </w:r>
      <w:r>
        <w:rPr>
          <w:rFonts w:hint="eastAsia" w:ascii="方正仿宋_GBK" w:hAnsi="方正仿宋_GBK" w:eastAsia="方正仿宋_GBK" w:cs="方正仿宋_GBK"/>
          <w:color w:val="000000"/>
          <w:sz w:val="32"/>
          <w:szCs w:val="32"/>
          <w:highlight w:val="none"/>
        </w:rPr>
        <w:t>贷款利息明细表（</w:t>
      </w:r>
      <w:r>
        <w:rPr>
          <w:rFonts w:hint="eastAsia" w:ascii="方正仿宋_GBK" w:hAnsi="方正仿宋_GBK" w:eastAsia="方正仿宋_GBK" w:cs="方正仿宋_GBK"/>
          <w:color w:val="000000"/>
          <w:sz w:val="32"/>
          <w:szCs w:val="32"/>
          <w:highlight w:val="none"/>
          <w:lang w:eastAsia="zh-CN"/>
        </w:rPr>
        <w:t>详见</w:t>
      </w:r>
      <w:r>
        <w:rPr>
          <w:rFonts w:hint="eastAsia" w:ascii="方正仿宋_GBK" w:hAnsi="方正仿宋_GBK" w:eastAsia="方正仿宋_GBK" w:cs="方正仿宋_GBK"/>
          <w:color w:val="000000"/>
          <w:sz w:val="32"/>
          <w:szCs w:val="32"/>
          <w:highlight w:val="none"/>
        </w:rPr>
        <w:t>附件）、贷款资金用途情况说明及证明资料（如：合同、增值税发票及支付凭据等）。贷款合同（或协议）没有明确贷款用途</w:t>
      </w:r>
      <w:r>
        <w:rPr>
          <w:rFonts w:hint="eastAsia" w:ascii="方正仿宋_GBK" w:hAnsi="方正仿宋_GBK" w:eastAsia="方正仿宋_GBK" w:cs="方正仿宋_GBK"/>
          <w:color w:val="000000"/>
          <w:sz w:val="32"/>
          <w:szCs w:val="32"/>
          <w:highlight w:val="none"/>
          <w:lang w:eastAsia="zh-CN"/>
        </w:rPr>
        <w:t>为设施农业</w:t>
      </w:r>
      <w:r>
        <w:rPr>
          <w:rFonts w:hint="eastAsia" w:ascii="方正仿宋_GBK" w:hAnsi="方正仿宋_GBK" w:eastAsia="方正仿宋_GBK" w:cs="方正仿宋_GBK"/>
          <w:color w:val="000000"/>
          <w:sz w:val="32"/>
          <w:szCs w:val="32"/>
          <w:highlight w:val="none"/>
        </w:rPr>
        <w:t>的，需提供银行出具的贷款用途证明</w:t>
      </w:r>
      <w:r>
        <w:rPr>
          <w:rFonts w:hint="eastAsia" w:ascii="方正仿宋_GBK" w:hAnsi="方正仿宋_GBK" w:eastAsia="方正仿宋_GBK" w:cs="方正仿宋_GBK"/>
          <w:color w:val="000000"/>
          <w:sz w:val="32"/>
          <w:szCs w:val="32"/>
          <w:highlight w:val="none"/>
          <w:lang w:eastAsia="zh-CN"/>
        </w:rPr>
        <w:t>。以上所有材料，属于企业、</w:t>
      </w:r>
      <w:r>
        <w:rPr>
          <w:rFonts w:hint="eastAsia" w:ascii="方正仿宋_GBK" w:hAnsi="方正仿宋_GBK" w:eastAsia="方正仿宋_GBK" w:cs="方正仿宋_GBK"/>
          <w:color w:val="auto"/>
          <w:sz w:val="32"/>
          <w:szCs w:val="32"/>
          <w:highlight w:val="none"/>
          <w:lang w:eastAsia="zh-CN"/>
        </w:rPr>
        <w:t>农民合作社等主体的，应加盖单位公章。</w:t>
      </w:r>
    </w:p>
    <w:p w14:paraId="5BCD78A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五、申报程序</w:t>
      </w:r>
    </w:p>
    <w:p w14:paraId="6EAE3A6A">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简体" w:hAnsi="方正楷体简体" w:eastAsia="方正楷体简体" w:cs="方正楷体简体"/>
          <w:bCs/>
          <w:color w:val="auto"/>
          <w:kern w:val="2"/>
          <w:sz w:val="32"/>
          <w:szCs w:val="32"/>
          <w:highlight w:val="none"/>
          <w:lang w:val="en-US" w:eastAsia="zh-CN" w:bidi="ar-SA"/>
        </w:rPr>
        <w:t>（一）网上自行申报。</w:t>
      </w:r>
      <w:r>
        <w:rPr>
          <w:rFonts w:hint="eastAsia" w:ascii="方正仿宋_GBK" w:hAnsi="方正仿宋_GBK" w:eastAsia="方正仿宋_GBK" w:cs="方正仿宋_GBK"/>
          <w:color w:val="auto"/>
          <w:sz w:val="32"/>
          <w:szCs w:val="32"/>
          <w:highlight w:val="none"/>
          <w:lang w:val="en-US" w:eastAsia="zh-CN"/>
        </w:rPr>
        <w:t>符合申报条件的申报主体，</w:t>
      </w:r>
      <w:r>
        <w:rPr>
          <w:rFonts w:hint="eastAsia" w:ascii="方正仿宋_GBK" w:hAnsi="方正仿宋_GBK" w:eastAsia="方正仿宋_GBK" w:cs="方正仿宋_GBK"/>
          <w:color w:val="auto"/>
          <w:sz w:val="32"/>
          <w:szCs w:val="32"/>
          <w:highlight w:val="none"/>
          <w:lang w:eastAsia="zh-CN"/>
        </w:rPr>
        <w:t>自行登陆</w:t>
      </w:r>
      <w:r>
        <w:rPr>
          <w:rFonts w:hint="eastAsia" w:ascii="方正仿宋_GBK" w:hAnsi="方正仿宋_GBK" w:eastAsia="方正仿宋_GBK" w:cs="方正仿宋_GBK"/>
          <w:color w:val="000000"/>
          <w:sz w:val="32"/>
          <w:szCs w:val="32"/>
          <w:highlight w:val="none"/>
          <w:lang w:eastAsia="zh-CN"/>
        </w:rPr>
        <w:t>云南省中小企业信用融</w:t>
      </w:r>
      <w:r>
        <w:rPr>
          <w:rFonts w:hint="eastAsia" w:ascii="方正仿宋_GBK" w:hAnsi="方正仿宋_GBK" w:eastAsia="方正仿宋_GBK" w:cs="方正仿宋_GBK"/>
          <w:color w:val="auto"/>
          <w:sz w:val="32"/>
          <w:szCs w:val="32"/>
          <w:highlight w:val="none"/>
          <w:lang w:eastAsia="zh-CN"/>
        </w:rPr>
        <w:t>资服务平台，</w:t>
      </w:r>
      <w:r>
        <w:rPr>
          <w:rFonts w:hint="eastAsia" w:ascii="方正仿宋_GBK" w:hAnsi="方正仿宋_GBK" w:eastAsia="方正仿宋_GBK" w:cs="方正仿宋_GBK"/>
          <w:color w:val="auto"/>
          <w:sz w:val="32"/>
          <w:szCs w:val="32"/>
          <w:highlight w:val="none"/>
        </w:rPr>
        <w:fldChar w:fldCharType="begin"/>
      </w:r>
      <w:r>
        <w:rPr>
          <w:rFonts w:hint="eastAsia" w:ascii="方正仿宋_GBK" w:hAnsi="方正仿宋_GBK" w:eastAsia="方正仿宋_GBK" w:cs="方正仿宋_GBK"/>
          <w:color w:val="auto"/>
          <w:sz w:val="32"/>
          <w:szCs w:val="32"/>
          <w:highlight w:val="none"/>
        </w:rPr>
        <w:instrText xml:space="preserve"> HYPERLINK "http://czt.yn.gov.cn/ygyc/#/home）进行注册、申报。\”" </w:instrText>
      </w:r>
      <w:r>
        <w:rPr>
          <w:rFonts w:hint="eastAsia" w:ascii="方正仿宋_GBK" w:hAnsi="方正仿宋_GBK" w:eastAsia="方正仿宋_GBK" w:cs="方正仿宋_GBK"/>
          <w:color w:val="auto"/>
          <w:sz w:val="32"/>
          <w:szCs w:val="32"/>
          <w:highlight w:val="none"/>
        </w:rPr>
        <w:fldChar w:fldCharType="separate"/>
      </w:r>
      <w:r>
        <w:rPr>
          <w:rFonts w:hint="eastAsia" w:ascii="方正仿宋_GBK" w:hAnsi="方正仿宋_GBK" w:eastAsia="方正仿宋_GBK" w:cs="方正仿宋_GBK"/>
          <w:color w:val="auto"/>
          <w:sz w:val="32"/>
          <w:szCs w:val="32"/>
          <w:highlight w:val="none"/>
          <w:lang w:eastAsia="zh-CN"/>
        </w:rPr>
        <w:t>以下简称“省融信服平台”</w:t>
      </w:r>
      <w:r>
        <w:rPr>
          <w:rStyle w:val="6"/>
          <w:rFonts w:hint="eastAsia" w:ascii="方正仿宋_GBK" w:hAnsi="方正仿宋_GBK" w:eastAsia="方正仿宋_GBK" w:cs="方正仿宋_GBK"/>
          <w:color w:val="auto"/>
          <w:sz w:val="32"/>
          <w:szCs w:val="32"/>
          <w:highlight w:val="none"/>
          <w:u w:val="none"/>
        </w:rPr>
        <w:t>）</w:t>
      </w:r>
      <w:r>
        <w:rPr>
          <w:rFonts w:hint="eastAsia" w:ascii="方正仿宋_GBK" w:hAnsi="方正仿宋_GBK" w:eastAsia="方正仿宋_GBK" w:cs="方正仿宋_GBK"/>
          <w:color w:val="auto"/>
          <w:sz w:val="32"/>
          <w:szCs w:val="32"/>
          <w:highlight w:val="none"/>
        </w:rPr>
        <w:fldChar w:fldCharType="end"/>
      </w:r>
      <w:r>
        <w:rPr>
          <w:rFonts w:hint="eastAsia" w:ascii="方正仿宋_GBK" w:hAnsi="方正仿宋_GBK" w:eastAsia="方正仿宋_GBK" w:cs="方正仿宋_GBK"/>
          <w:color w:val="auto"/>
          <w:sz w:val="32"/>
          <w:szCs w:val="32"/>
          <w:highlight w:val="none"/>
          <w:lang w:eastAsia="zh-CN"/>
        </w:rPr>
        <w:fldChar w:fldCharType="begin"/>
      </w:r>
      <w:r>
        <w:rPr>
          <w:rFonts w:hint="eastAsia" w:ascii="方正仿宋_GBK" w:hAnsi="方正仿宋_GBK" w:eastAsia="方正仿宋_GBK" w:cs="方正仿宋_GBK"/>
          <w:color w:val="auto"/>
          <w:sz w:val="32"/>
          <w:szCs w:val="32"/>
          <w:highlight w:val="none"/>
          <w:lang w:eastAsia="zh-CN"/>
        </w:rPr>
        <w:instrText xml:space="preserve"> HYPERLINK "http://czt.yn.gov.cn/ygyc/#/home）进行注册、申报。\”" </w:instrText>
      </w:r>
      <w:r>
        <w:rPr>
          <w:rFonts w:hint="eastAsia" w:ascii="方正仿宋_GBK" w:hAnsi="方正仿宋_GBK" w:eastAsia="方正仿宋_GBK" w:cs="方正仿宋_GBK"/>
          <w:color w:val="auto"/>
          <w:sz w:val="32"/>
          <w:szCs w:val="32"/>
          <w:highlight w:val="none"/>
          <w:lang w:eastAsia="zh-CN"/>
        </w:rPr>
        <w:fldChar w:fldCharType="separate"/>
      </w:r>
      <w:r>
        <w:rPr>
          <w:rFonts w:hint="eastAsia" w:ascii="方正仿宋_GBK" w:hAnsi="方正仿宋_GBK" w:eastAsia="方正仿宋_GBK" w:cs="方正仿宋_GBK"/>
          <w:color w:val="auto"/>
          <w:sz w:val="32"/>
          <w:szCs w:val="32"/>
          <w:highlight w:val="none"/>
          <w:lang w:eastAsia="zh-CN"/>
        </w:rPr>
        <w:t>注册、</w:t>
      </w:r>
      <w:r>
        <w:rPr>
          <w:rFonts w:hint="eastAsia" w:ascii="方正仿宋_GBK" w:hAnsi="方正仿宋_GBK" w:eastAsia="方正仿宋_GBK" w:cs="方正仿宋_GBK"/>
          <w:color w:val="auto"/>
          <w:sz w:val="32"/>
          <w:szCs w:val="32"/>
          <w:highlight w:val="none"/>
          <w:lang w:eastAsia="zh-CN"/>
        </w:rPr>
        <w:fldChar w:fldCharType="end"/>
      </w:r>
      <w:r>
        <w:rPr>
          <w:rFonts w:hint="eastAsia" w:ascii="方正仿宋_GBK" w:hAnsi="方正仿宋_GBK" w:eastAsia="方正仿宋_GBK" w:cs="方正仿宋_GBK"/>
          <w:color w:val="auto"/>
          <w:sz w:val="32"/>
          <w:szCs w:val="32"/>
          <w:highlight w:val="none"/>
          <w:lang w:eastAsia="zh-CN"/>
        </w:rPr>
        <w:t>认证、授权和申报。</w:t>
      </w:r>
      <w:r>
        <w:rPr>
          <w:rFonts w:hint="eastAsia" w:ascii="方正仿宋_GBK" w:hAnsi="方正仿宋_GBK" w:eastAsia="方正仿宋_GBK" w:cs="方正仿宋_GBK"/>
          <w:bCs/>
          <w:color w:val="auto"/>
          <w:kern w:val="2"/>
          <w:sz w:val="32"/>
          <w:szCs w:val="32"/>
          <w:highlight w:val="none"/>
          <w:lang w:val="en-US" w:eastAsia="zh-CN" w:bidi="ar-SA"/>
        </w:rPr>
        <w:t>按照申报指南要求，</w:t>
      </w:r>
      <w:r>
        <w:rPr>
          <w:rFonts w:hint="eastAsia" w:ascii="方正仿宋_GBK" w:hAnsi="方正仿宋_GBK" w:eastAsia="方正仿宋_GBK" w:cs="方正仿宋_GBK"/>
          <w:color w:val="auto"/>
          <w:sz w:val="32"/>
          <w:szCs w:val="32"/>
          <w:highlight w:val="none"/>
        </w:rPr>
        <w:t>如实、准确、全面</w:t>
      </w:r>
      <w:r>
        <w:rPr>
          <w:rFonts w:hint="eastAsia" w:ascii="方正仿宋_GBK" w:hAnsi="方正仿宋_GBK" w:eastAsia="方正仿宋_GBK" w:cs="方正仿宋_GBK"/>
          <w:bCs/>
          <w:color w:val="auto"/>
          <w:kern w:val="2"/>
          <w:sz w:val="32"/>
          <w:szCs w:val="32"/>
          <w:highlight w:val="none"/>
          <w:lang w:val="en-US" w:eastAsia="zh-CN" w:bidi="ar-SA"/>
        </w:rPr>
        <w:t>提交相关材料，所有申报材料均采用原件扫描件形式上传</w:t>
      </w:r>
      <w:r>
        <w:rPr>
          <w:rFonts w:hint="eastAsia" w:ascii="方正仿宋_GBK" w:hAnsi="方正仿宋_GBK" w:eastAsia="方正仿宋_GBK" w:cs="方正仿宋_GBK"/>
          <w:color w:val="auto"/>
          <w:sz w:val="32"/>
          <w:szCs w:val="32"/>
          <w:highlight w:val="none"/>
          <w:lang w:eastAsia="zh-CN"/>
        </w:rPr>
        <w:t>，同时将纸质材料报送所属县（市、区）农业农村部门</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bCs/>
          <w:color w:val="auto"/>
          <w:kern w:val="2"/>
          <w:sz w:val="32"/>
          <w:szCs w:val="32"/>
          <w:highlight w:val="none"/>
          <w:lang w:val="en-US" w:eastAsia="zh-CN" w:bidi="ar-SA"/>
        </w:rPr>
        <w:t>申报2025年度贴息补助的，申报时间为2026年2月1日—2月15日；申报2026年度贴息补助的，申报时间为2027年2月1日—2月15日；申报2027年度贴息补助的，申报时间为2028年2月1日—2月15日，逾期均不再受理。</w:t>
      </w:r>
      <w:r>
        <w:rPr>
          <w:rFonts w:hint="eastAsia" w:ascii="方正仿宋_GBK" w:hAnsi="方正仿宋_GBK" w:eastAsia="方正仿宋_GBK" w:cs="方正仿宋_GBK"/>
          <w:color w:val="auto"/>
          <w:sz w:val="32"/>
          <w:szCs w:val="32"/>
          <w:highlight w:val="none"/>
          <w:lang w:eastAsia="zh-CN"/>
        </w:rPr>
        <w:t>申报中遇到技术问题，可咨询</w:t>
      </w:r>
      <w:r>
        <w:rPr>
          <w:rFonts w:hint="eastAsia" w:ascii="方正仿宋_GBK" w:hAnsi="方正仿宋_GBK" w:eastAsia="方正仿宋_GBK" w:cs="方正仿宋_GBK"/>
          <w:color w:val="auto"/>
          <w:sz w:val="32"/>
          <w:szCs w:val="32"/>
          <w:highlight w:val="none"/>
          <w:lang w:val="en-US" w:eastAsia="zh-CN"/>
        </w:rPr>
        <w:t>平台</w:t>
      </w:r>
      <w:r>
        <w:rPr>
          <w:rFonts w:hint="eastAsia" w:ascii="方正仿宋_GBK" w:hAnsi="方正仿宋_GBK" w:eastAsia="方正仿宋_GBK" w:cs="方正仿宋_GBK"/>
          <w:color w:val="auto"/>
          <w:sz w:val="32"/>
          <w:szCs w:val="32"/>
          <w:highlight w:val="none"/>
          <w:lang w:eastAsia="zh-CN"/>
        </w:rPr>
        <w:t>技术热线，政策问题可咨询所属县</w:t>
      </w:r>
      <w:r>
        <w:rPr>
          <w:rFonts w:hint="eastAsia" w:ascii="方正仿宋_GBK" w:hAnsi="方正仿宋_GBK" w:eastAsia="方正仿宋_GBK" w:cs="方正仿宋_GBK"/>
          <w:color w:val="auto"/>
          <w:sz w:val="32"/>
          <w:szCs w:val="32"/>
          <w:highlight w:val="none"/>
          <w:shd w:val="clear" w:color="auto" w:fill="FFFFFF"/>
          <w:lang w:eastAsia="zh-CN"/>
        </w:rPr>
        <w:t>（</w:t>
      </w:r>
      <w:r>
        <w:rPr>
          <w:rFonts w:hint="eastAsia" w:ascii="方正仿宋_GBK" w:hAnsi="方正仿宋_GBK" w:eastAsia="方正仿宋_GBK" w:cs="方正仿宋_GBK"/>
          <w:color w:val="auto"/>
          <w:sz w:val="32"/>
          <w:szCs w:val="32"/>
          <w:highlight w:val="none"/>
          <w:lang w:eastAsia="zh-CN"/>
        </w:rPr>
        <w:t>市、区）农业农村部门或贷款发放银行。</w:t>
      </w:r>
    </w:p>
    <w:p w14:paraId="169CF86B">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auto"/>
          <w:sz w:val="32"/>
          <w:szCs w:val="32"/>
          <w:highlight w:val="none"/>
          <w:lang w:eastAsia="zh-CN"/>
        </w:rPr>
      </w:pPr>
      <w:r>
        <w:rPr>
          <w:rFonts w:hint="eastAsia" w:ascii="方正楷体简体" w:hAnsi="方正楷体简体" w:eastAsia="方正楷体简体" w:cs="方正楷体简体"/>
          <w:bCs/>
          <w:color w:val="auto"/>
          <w:kern w:val="2"/>
          <w:sz w:val="32"/>
          <w:szCs w:val="32"/>
          <w:highlight w:val="none"/>
          <w:lang w:val="en-US" w:eastAsia="zh-CN" w:bidi="ar-SA"/>
        </w:rPr>
        <w:t>（二）贷款发放银行审核。</w:t>
      </w:r>
      <w:r>
        <w:rPr>
          <w:rFonts w:hint="eastAsia" w:ascii="方正仿宋_GBK" w:hAnsi="方正仿宋_GBK" w:eastAsia="方正仿宋_GBK" w:cs="方正仿宋_GBK"/>
          <w:color w:val="auto"/>
          <w:sz w:val="32"/>
          <w:szCs w:val="32"/>
          <w:highlight w:val="none"/>
          <w:lang w:eastAsia="zh-CN"/>
        </w:rPr>
        <w:t>贷款发放银行于</w:t>
      </w:r>
      <w:r>
        <w:rPr>
          <w:rFonts w:hint="eastAsia" w:ascii="方正仿宋_GBK" w:hAnsi="方正仿宋_GBK" w:eastAsia="方正仿宋_GBK" w:cs="方正仿宋_GBK"/>
          <w:bCs/>
          <w:color w:val="auto"/>
          <w:kern w:val="2"/>
          <w:sz w:val="32"/>
          <w:szCs w:val="32"/>
          <w:highlight w:val="none"/>
          <w:lang w:val="en-US" w:eastAsia="zh-CN" w:bidi="ar-SA"/>
        </w:rPr>
        <w:t>2026年3月5日（2025年度贴息）、2027年3月5日（2026年度贴息）、2028年3月5日（2027年度贴息）前登录</w:t>
      </w:r>
      <w:r>
        <w:rPr>
          <w:rFonts w:hint="eastAsia" w:ascii="方正仿宋_GBK" w:hAnsi="方正仿宋_GBK" w:eastAsia="方正仿宋_GBK" w:cs="方正仿宋_GBK"/>
          <w:color w:val="auto"/>
          <w:sz w:val="32"/>
          <w:szCs w:val="32"/>
          <w:highlight w:val="none"/>
          <w:lang w:eastAsia="zh-CN"/>
        </w:rPr>
        <w:t>“省融信服平台”，对本银行贷款的申报主体自主申报材料进行审核，重点审核贷款用途是否为设施种植、</w:t>
      </w:r>
      <w:r>
        <w:rPr>
          <w:rFonts w:hint="eastAsia" w:ascii="仿宋_GB2312" w:hAnsi="仿宋_GB2312" w:eastAsia="仿宋_GB2312" w:cs="仿宋_GB2312"/>
          <w:color w:val="000000"/>
          <w:sz w:val="32"/>
          <w:szCs w:val="32"/>
          <w:highlight w:val="none"/>
          <w:lang w:eastAsia="zh-CN"/>
        </w:rPr>
        <w:t>设施养殖、设施渔业</w:t>
      </w:r>
      <w:r>
        <w:rPr>
          <w:rFonts w:hint="eastAsia" w:ascii="方正仿宋_GBK" w:hAnsi="方正仿宋_GBK" w:eastAsia="方正仿宋_GBK" w:cs="方正仿宋_GBK"/>
          <w:color w:val="auto"/>
          <w:sz w:val="32"/>
          <w:szCs w:val="32"/>
          <w:highlight w:val="none"/>
          <w:lang w:eastAsia="zh-CN"/>
        </w:rPr>
        <w:t>领域新建或改建项目，并对贷款信息的真实性、准确性提出明确审核意见，通过平台</w:t>
      </w:r>
      <w:r>
        <w:rPr>
          <w:rFonts w:hint="eastAsia" w:ascii="方正仿宋_GBK" w:hAnsi="方正仿宋_GBK" w:eastAsia="方正仿宋_GBK" w:cs="方正仿宋_GBK"/>
          <w:bCs/>
          <w:color w:val="auto"/>
          <w:kern w:val="2"/>
          <w:sz w:val="32"/>
          <w:szCs w:val="32"/>
          <w:highlight w:val="none"/>
          <w:lang w:val="en-US" w:eastAsia="zh-CN" w:bidi="ar-SA"/>
        </w:rPr>
        <w:t>将符合条件的项目推荐上报县（市、区）农业农村部门。</w:t>
      </w:r>
    </w:p>
    <w:p w14:paraId="5E3FCBE6">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方正仿宋_GBK" w:hAnsi="方正仿宋_GBK" w:eastAsia="方正仿宋_GBK" w:cs="方正仿宋_GBK"/>
          <w:bCs/>
          <w:color w:val="auto"/>
          <w:kern w:val="2"/>
          <w:sz w:val="32"/>
          <w:szCs w:val="32"/>
          <w:highlight w:val="none"/>
          <w:lang w:val="en-US" w:eastAsia="zh-CN" w:bidi="ar-SA"/>
        </w:rPr>
      </w:pPr>
      <w:r>
        <w:rPr>
          <w:rFonts w:hint="eastAsia" w:ascii="方正楷体简体" w:hAnsi="方正楷体简体" w:eastAsia="方正楷体简体" w:cs="方正楷体简体"/>
          <w:bCs/>
          <w:color w:val="auto"/>
          <w:kern w:val="2"/>
          <w:sz w:val="32"/>
          <w:szCs w:val="32"/>
          <w:highlight w:val="none"/>
          <w:lang w:val="en-US" w:eastAsia="zh-CN" w:bidi="ar-SA"/>
        </w:rPr>
        <w:t>（三）县级审核。</w:t>
      </w:r>
      <w:r>
        <w:rPr>
          <w:rFonts w:hint="eastAsia" w:ascii="方正仿宋_GBK" w:hAnsi="方正仿宋_GBK" w:eastAsia="方正仿宋_GBK" w:cs="方正仿宋_GBK"/>
          <w:bCs/>
          <w:color w:val="auto"/>
          <w:kern w:val="2"/>
          <w:sz w:val="32"/>
          <w:szCs w:val="32"/>
          <w:highlight w:val="none"/>
          <w:lang w:val="en-US" w:eastAsia="zh-CN" w:bidi="ar-SA"/>
        </w:rPr>
        <w:t>申报主体所在的县（市、区）农业农村部门商有关部门对申报主体及其法人2023年1月1日（2025年度贴息）、2024年1月1日（2026年度贴息）、2025年1月1日（2027年度贴息）以来在</w:t>
      </w:r>
      <w:r>
        <w:rPr>
          <w:rFonts w:hint="eastAsia" w:ascii="方正仿宋_GBK" w:hAnsi="方正仿宋_GBK" w:eastAsia="方正仿宋_GBK" w:cs="方正仿宋_GBK"/>
          <w:color w:val="000000"/>
          <w:sz w:val="32"/>
          <w:szCs w:val="32"/>
          <w:highlight w:val="none"/>
          <w:lang w:val="en-US" w:eastAsia="zh-CN"/>
        </w:rPr>
        <w:t>社会信用、安全生产、产品质量、缴纳税收、生态环保、涉黑涉恶、</w:t>
      </w:r>
      <w:r>
        <w:rPr>
          <w:rFonts w:hint="eastAsia" w:ascii="方正仿宋_GBK" w:hAnsi="方正仿宋_GBK" w:eastAsia="方正仿宋_GBK" w:cs="方正仿宋_GBK"/>
          <w:bCs/>
          <w:color w:val="auto"/>
          <w:kern w:val="2"/>
          <w:sz w:val="32"/>
          <w:szCs w:val="32"/>
          <w:highlight w:val="none"/>
          <w:lang w:val="en-US" w:eastAsia="zh-CN" w:bidi="ar-SA"/>
        </w:rPr>
        <w:t>金融监管、</w:t>
      </w:r>
      <w:r>
        <w:rPr>
          <w:rFonts w:hint="eastAsia" w:ascii="方正仿宋_GBK" w:hAnsi="方正仿宋_GBK" w:eastAsia="方正仿宋_GBK" w:cs="方正仿宋_GBK"/>
          <w:color w:val="000000"/>
          <w:sz w:val="32"/>
          <w:szCs w:val="32"/>
          <w:highlight w:val="none"/>
          <w:lang w:val="en-US" w:eastAsia="zh-CN"/>
        </w:rPr>
        <w:t>保障农民工工资、诉讼</w:t>
      </w:r>
      <w:r>
        <w:rPr>
          <w:rFonts w:hint="eastAsia" w:ascii="方正仿宋_GBK" w:hAnsi="方正仿宋_GBK" w:eastAsia="方正仿宋_GBK" w:cs="方正仿宋_GBK"/>
          <w:bCs/>
          <w:color w:val="auto"/>
          <w:kern w:val="2"/>
          <w:sz w:val="32"/>
          <w:szCs w:val="32"/>
          <w:highlight w:val="none"/>
          <w:lang w:val="en-US" w:eastAsia="zh-CN" w:bidi="ar-SA"/>
        </w:rPr>
        <w:t>等方面情况进行核查，申报主体存在以上方面不良记录且未整改的，取消申报资格；已整改的，须由申报主体提供所在地相关主管部门出具的整改完成证明材料。县（市、区）农业农村部门会同财政部门于2026年3月15日（2025年度贴息）、2027年3月15日（2026年度贴息）、2028年3月15日（2027年度贴息）前完成审核，并在“省融信服平台”提交审核意见，将符合条件的项目推荐上报州（市）农业农村部门。</w:t>
      </w:r>
    </w:p>
    <w:p w14:paraId="4BF3AB2E">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方正仿宋_GBK" w:hAnsi="方正仿宋_GBK" w:eastAsia="方正仿宋_GBK" w:cs="方正仿宋_GBK"/>
          <w:bCs/>
          <w:color w:val="auto"/>
          <w:kern w:val="2"/>
          <w:sz w:val="32"/>
          <w:szCs w:val="32"/>
          <w:highlight w:val="none"/>
          <w:lang w:val="en-US" w:eastAsia="zh-CN" w:bidi="ar-SA"/>
        </w:rPr>
      </w:pPr>
      <w:r>
        <w:rPr>
          <w:rFonts w:hint="eastAsia" w:ascii="方正楷体简体" w:hAnsi="方正楷体简体" w:eastAsia="方正楷体简体" w:cs="方正楷体简体"/>
          <w:bCs/>
          <w:color w:val="auto"/>
          <w:kern w:val="2"/>
          <w:sz w:val="32"/>
          <w:szCs w:val="32"/>
          <w:highlight w:val="none"/>
          <w:lang w:val="en-US" w:eastAsia="zh-CN" w:bidi="ar-SA"/>
        </w:rPr>
        <w:t>（四）州（市）级审核。</w:t>
      </w:r>
      <w:r>
        <w:rPr>
          <w:rFonts w:hint="eastAsia" w:ascii="方正仿宋_GBK" w:hAnsi="方正仿宋_GBK" w:eastAsia="方正仿宋_GBK" w:cs="方正仿宋_GBK"/>
          <w:bCs/>
          <w:color w:val="auto"/>
          <w:kern w:val="2"/>
          <w:sz w:val="32"/>
          <w:szCs w:val="32"/>
          <w:highlight w:val="none"/>
          <w:lang w:val="en-US" w:eastAsia="zh-CN" w:bidi="ar-SA"/>
        </w:rPr>
        <w:t>州（市）农业农村部门会同财政部门，在县级审核通过后于2026年3月25日（2025年度贴息）、2027年3月25日（2026年度贴息）、2028年3月25日（2027年度贴息）前，登录“省融信服平台”对企业申报项目的合法性、合规性、真实性和资料完整性、准确性进行审核，如有必要可进行现场核查和资料查验，提交审核意见，将符合条件的项目推荐上报省农业农村厅。</w:t>
      </w:r>
    </w:p>
    <w:p w14:paraId="180A5D0A">
      <w:pPr>
        <w:keepNext w:val="0"/>
        <w:keepLines w:val="0"/>
        <w:pageBreakBefore w:val="0"/>
        <w:widowControl/>
        <w:numPr>
          <w:ilvl w:val="0"/>
          <w:numId w:val="0"/>
        </w:numPr>
        <w:kinsoku/>
        <w:wordWrap/>
        <w:overflowPunct/>
        <w:topLinePunct w:val="0"/>
        <w:autoSpaceDE/>
        <w:autoSpaceDN/>
        <w:bidi w:val="0"/>
        <w:adjustRightInd/>
        <w:snapToGrid/>
        <w:spacing w:afterLines="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kern w:val="0"/>
          <w:sz w:val="32"/>
          <w:szCs w:val="32"/>
          <w:u w:val="none"/>
          <w:lang w:val="en-US" w:eastAsia="zh-CN" w:bidi="ar"/>
        </w:rPr>
      </w:pPr>
      <w:r>
        <w:rPr>
          <w:rFonts w:hint="eastAsia" w:ascii="方正楷体简体" w:hAnsi="方正楷体简体" w:eastAsia="方正楷体简体" w:cs="方正楷体简体"/>
          <w:bCs/>
          <w:color w:val="auto"/>
          <w:kern w:val="2"/>
          <w:sz w:val="32"/>
          <w:szCs w:val="32"/>
          <w:highlight w:val="none"/>
          <w:lang w:val="en-US" w:eastAsia="zh-CN" w:bidi="ar-SA"/>
        </w:rPr>
        <w:t>（五）省级审核。</w:t>
      </w:r>
      <w:r>
        <w:rPr>
          <w:rFonts w:hint="eastAsia" w:ascii="方正仿宋_GBK" w:hAnsi="方正仿宋_GBK" w:eastAsia="方正仿宋_GBK" w:cs="方正仿宋_GBK"/>
          <w:sz w:val="32"/>
          <w:szCs w:val="32"/>
          <w:highlight w:val="none"/>
        </w:rPr>
        <w:t>省农业农村厅</w:t>
      </w:r>
      <w:r>
        <w:rPr>
          <w:rFonts w:hint="eastAsia" w:ascii="方正仿宋_GBK" w:hAnsi="方正仿宋_GBK" w:eastAsia="方正仿宋_GBK" w:cs="方正仿宋_GBK"/>
          <w:bCs/>
          <w:color w:val="auto"/>
          <w:kern w:val="2"/>
          <w:sz w:val="32"/>
          <w:szCs w:val="32"/>
          <w:highlight w:val="none"/>
          <w:lang w:val="en-US" w:eastAsia="zh-CN" w:bidi="ar-SA"/>
        </w:rPr>
        <w:t>对州（市）农业农村部门汇总申报项目开展初核，于2026年5月10日（2025年度贴息）、2027年5月10日（2026年度贴息）、2028年5月10日（2027年度贴息）前将项目初核情况提交省财政厅复核。</w:t>
      </w:r>
      <w:r>
        <w:rPr>
          <w:rFonts w:hint="eastAsia" w:ascii="方正仿宋_GBK" w:hAnsi="方正仿宋_GBK" w:eastAsia="方正仿宋_GBK" w:cs="方正仿宋_GBK"/>
          <w:bCs/>
          <w:color w:val="auto"/>
          <w:sz w:val="32"/>
          <w:szCs w:val="32"/>
          <w:highlight w:val="none"/>
          <w:lang w:eastAsia="zh-CN"/>
        </w:rPr>
        <w:t>为加快兑付申报主体奖补资金，对超过时限未提交省财政厅复核的，省财政厅原则上不予受理。省财政厅按照只减不增原则，委托第三方对省农业农村厅提交的初审情况开展复核，</w:t>
      </w:r>
      <w:r>
        <w:rPr>
          <w:rFonts w:hint="eastAsia" w:ascii="方正仿宋_GBK" w:hAnsi="方正仿宋_GBK" w:eastAsia="方正仿宋_GBK" w:cs="方正仿宋_GBK"/>
          <w:bCs/>
          <w:color w:val="auto"/>
          <w:kern w:val="2"/>
          <w:sz w:val="32"/>
          <w:szCs w:val="32"/>
          <w:highlight w:val="none"/>
          <w:lang w:val="en-US" w:eastAsia="zh-CN" w:bidi="ar-SA"/>
        </w:rPr>
        <w:t>于2026年6月10日（2025年度项目）、2027年6月10日（2026年度项目）、2028年6月10日（2027年度项目）前</w:t>
      </w:r>
      <w:r>
        <w:rPr>
          <w:rFonts w:hint="eastAsia" w:ascii="方正仿宋_GBK" w:hAnsi="方正仿宋_GBK" w:eastAsia="方正仿宋_GBK" w:cs="方正仿宋_GBK"/>
          <w:bCs/>
          <w:color w:val="auto"/>
          <w:sz w:val="32"/>
          <w:szCs w:val="32"/>
          <w:highlight w:val="none"/>
          <w:lang w:val="en-US" w:eastAsia="zh-CN"/>
        </w:rPr>
        <w:t>将项目复核情况反馈省农业农村厅，省农业农村厅按规定程序将项目复核情况进行公示，</w:t>
      </w:r>
      <w:r>
        <w:rPr>
          <w:rFonts w:hint="eastAsia" w:ascii="方正仿宋_GBK" w:hAnsi="方正仿宋_GBK" w:eastAsia="方正仿宋_GBK" w:cs="方正仿宋_GBK"/>
          <w:bCs/>
          <w:color w:val="auto"/>
          <w:kern w:val="2"/>
          <w:sz w:val="32"/>
          <w:szCs w:val="32"/>
          <w:highlight w:val="none"/>
          <w:u w:val="none"/>
          <w:lang w:val="en-US" w:eastAsia="zh-CN" w:bidi="ar-SA"/>
        </w:rPr>
        <w:t>公示期为5个工作日。对公示有异议的申报主体，由省农业农村厅会同省财政厅调查核实，不符合条件的，不予支持。</w:t>
      </w:r>
    </w:p>
    <w:p w14:paraId="7D0E9327">
      <w:pPr>
        <w:pStyle w:val="7"/>
        <w:numPr>
          <w:ilvl w:val="0"/>
          <w:numId w:val="0"/>
        </w:numPr>
        <w:spacing w:afterLines="0" w:line="590" w:lineRule="exact"/>
        <w:ind w:firstLine="640" w:firstLineChars="200"/>
        <w:outlineLvl w:val="9"/>
        <w:rPr>
          <w:rFonts w:hint="eastAsia"/>
          <w:sz w:val="32"/>
          <w:szCs w:val="32"/>
          <w:lang w:val="en-US" w:eastAsia="zh-CN"/>
        </w:rPr>
      </w:pPr>
      <w:r>
        <w:rPr>
          <w:rFonts w:hint="eastAsia" w:eastAsia="方正仿宋_GBK" w:cs="Times New Roman"/>
          <w:sz w:val="32"/>
          <w:szCs w:val="32"/>
          <w:lang w:eastAsia="zh-CN"/>
        </w:rPr>
        <w:t>审核期间，一经发现弄虚作假情况的，不得再申报同类财政补贴资金。</w:t>
      </w:r>
    </w:p>
    <w:p w14:paraId="5825E5D1">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40" w:firstLineChars="200"/>
        <w:textAlignment w:val="auto"/>
        <w:rPr>
          <w:rFonts w:hint="eastAsia" w:ascii="方正仿宋_GBK" w:hAnsi="方正仿宋_GBK" w:eastAsia="方正仿宋_GBK" w:cs="方正仿宋_GBK"/>
          <w:bCs/>
          <w:color w:val="auto"/>
          <w:kern w:val="2"/>
          <w:sz w:val="32"/>
          <w:szCs w:val="32"/>
          <w:highlight w:val="none"/>
          <w:lang w:val="en-US" w:eastAsia="zh-CN" w:bidi="ar-SA"/>
        </w:rPr>
      </w:pPr>
      <w:r>
        <w:rPr>
          <w:rFonts w:hint="eastAsia" w:ascii="方正楷体简体" w:hAnsi="方正楷体简体" w:eastAsia="方正楷体简体" w:cs="方正楷体简体"/>
          <w:bCs/>
          <w:color w:val="auto"/>
          <w:kern w:val="2"/>
          <w:sz w:val="32"/>
          <w:szCs w:val="32"/>
          <w:highlight w:val="none"/>
          <w:lang w:val="en-US" w:eastAsia="zh-CN" w:bidi="ar-SA"/>
        </w:rPr>
        <w:t>（六）项目填报和资金拨付。</w:t>
      </w:r>
      <w:r>
        <w:rPr>
          <w:rFonts w:hint="eastAsia" w:ascii="方正仿宋_GBK" w:hAnsi="方正仿宋_GBK" w:eastAsia="方正仿宋_GBK" w:cs="方正仿宋_GBK"/>
          <w:bCs/>
          <w:color w:val="auto"/>
          <w:kern w:val="2"/>
          <w:sz w:val="32"/>
          <w:szCs w:val="32"/>
          <w:highlight w:val="none"/>
          <w:lang w:val="en-US" w:eastAsia="zh-CN" w:bidi="ar-SA"/>
        </w:rPr>
        <w:t>经公示无异议的项目，由申报主体自公示结束之日起5个工作日内登录农业农村投资项目管理平台 以下简称“投资项目平台”），对获贴息补助项目进行填报（填报资料同申报材料一致）。同时，由省农业农村厅向省财政厅提出资金请拨函，省财政厅根据资金请拨函将奖补资金下达至省农业农村厅，由省农业农村厅直接拨付申报主体。</w:t>
      </w:r>
    </w:p>
    <w:p w14:paraId="4CBEA66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Times New Roman"/>
          <w:color w:val="auto"/>
          <w:sz w:val="32"/>
          <w:szCs w:val="32"/>
          <w:highlight w:val="none"/>
          <w:lang w:eastAsia="zh-CN"/>
        </w:rPr>
      </w:pPr>
      <w:r>
        <w:rPr>
          <w:rFonts w:hint="eastAsia" w:ascii="Times New Roman" w:hAnsi="Times New Roman" w:eastAsia="黑体" w:cs="Times New Roman"/>
          <w:color w:val="auto"/>
          <w:sz w:val="32"/>
          <w:szCs w:val="32"/>
          <w:highlight w:val="none"/>
          <w:lang w:eastAsia="zh-CN"/>
        </w:rPr>
        <w:t>六、附则</w:t>
      </w:r>
    </w:p>
    <w:p w14:paraId="07D97394">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本指南由省农业农村厅会同省财政厅负责解释。</w:t>
      </w:r>
    </w:p>
    <w:p w14:paraId="121E9813">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rPr>
      </w:pPr>
    </w:p>
    <w:p w14:paraId="2F5BF149">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rPr>
        <w:t>附件</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 xml:space="preserve">2-1 </w:t>
      </w:r>
      <w:r>
        <w:rPr>
          <w:rFonts w:hint="eastAsia" w:ascii="方正仿宋_GBK" w:hAnsi="方正仿宋_GBK" w:eastAsia="方正仿宋_GBK" w:cs="方正仿宋_GBK"/>
          <w:color w:val="000000"/>
          <w:sz w:val="32"/>
          <w:szCs w:val="32"/>
          <w:highlight w:val="none"/>
          <w:lang w:eastAsia="zh-CN"/>
        </w:rPr>
        <w:t>农业经营主体</w:t>
      </w:r>
      <w:r>
        <w:rPr>
          <w:rFonts w:hint="eastAsia" w:ascii="方正仿宋_GBK" w:hAnsi="方正仿宋_GBK" w:eastAsia="方正仿宋_GBK" w:cs="方正仿宋_GBK"/>
          <w:color w:val="000000"/>
          <w:sz w:val="32"/>
          <w:szCs w:val="32"/>
          <w:highlight w:val="none"/>
          <w:lang w:val="en-US" w:eastAsia="zh-CN"/>
        </w:rPr>
        <w:t>贷款利息明细表</w:t>
      </w:r>
    </w:p>
    <w:p w14:paraId="56B4CFAE">
      <w:pPr>
        <w:rPr>
          <w:rFonts w:hint="eastAsia" w:ascii="方正仿宋_GBK" w:hAnsi="方正仿宋_GBK" w:eastAsia="方正仿宋_GBK" w:cs="方正仿宋_GBK"/>
          <w:i w:val="0"/>
          <w:color w:val="000000"/>
          <w:kern w:val="0"/>
          <w:sz w:val="32"/>
          <w:szCs w:val="32"/>
          <w:highlight w:val="none"/>
          <w:u w:val="none"/>
          <w:lang w:val="en-US" w:eastAsia="zh-CN" w:bidi="ar"/>
        </w:rPr>
        <w:sectPr>
          <w:footerReference r:id="rId3" w:type="default"/>
          <w:footerReference r:id="rId4" w:type="even"/>
          <w:pgSz w:w="11906" w:h="16838"/>
          <w:pgMar w:top="2098" w:right="1588" w:bottom="2041" w:left="1588" w:header="851" w:footer="1587" w:gutter="0"/>
          <w:pgNumType w:fmt="decimal"/>
          <w:cols w:space="720" w:num="1"/>
          <w:rtlGutter w:val="0"/>
          <w:docGrid w:type="lines" w:linePitch="437" w:charSpace="0"/>
        </w:sectPr>
      </w:pPr>
    </w:p>
    <w:p w14:paraId="26CCF917">
      <w:pPr>
        <w:rPr>
          <w:rFonts w:hint="default" w:ascii="Times New Roman" w:hAnsi="Times New Roman" w:eastAsia="方正仿宋_GBK" w:cs="Times New Roman"/>
          <w:b w:val="0"/>
          <w:bCs/>
          <w:color w:val="000000"/>
          <w:sz w:val="32"/>
          <w:szCs w:val="32"/>
          <w:highlight w:val="none"/>
          <w:lang w:val="en-US"/>
        </w:rPr>
      </w:pPr>
      <w:r>
        <w:rPr>
          <w:rFonts w:hint="default" w:ascii="方正黑体_GBK" w:hAnsi="方正黑体_GBK" w:eastAsia="方正黑体_GBK" w:cs="方正黑体_GBK"/>
          <w:i w:val="0"/>
          <w:color w:val="000000"/>
          <w:kern w:val="0"/>
          <w:sz w:val="32"/>
          <w:szCs w:val="32"/>
          <w:highlight w:val="none"/>
          <w:u w:val="none"/>
          <w:lang w:val="en-US" w:eastAsia="zh-CN" w:bidi="ar"/>
        </w:rPr>
        <w:t>附件</w:t>
      </w:r>
      <w:r>
        <w:rPr>
          <w:rFonts w:hint="eastAsia" w:ascii="方正黑体_GBK" w:hAnsi="方正黑体_GBK" w:eastAsia="方正黑体_GBK" w:cs="方正黑体_GBK"/>
          <w:i w:val="0"/>
          <w:color w:val="000000"/>
          <w:kern w:val="0"/>
          <w:sz w:val="32"/>
          <w:szCs w:val="32"/>
          <w:highlight w:val="none"/>
          <w:u w:val="none"/>
          <w:lang w:val="en-US" w:eastAsia="zh-CN" w:bidi="ar"/>
        </w:rPr>
        <w:t>2-1</w:t>
      </w:r>
    </w:p>
    <w:p w14:paraId="1C667430">
      <w:pPr>
        <w:keepNext w:val="0"/>
        <w:keepLines w:val="0"/>
        <w:widowControl/>
        <w:suppressLineNumbers w:val="0"/>
        <w:jc w:val="center"/>
        <w:textAlignment w:val="center"/>
        <w:rPr>
          <w:rFonts w:hint="default" w:ascii="方正小标宋_GBK" w:hAnsi="方正小标宋_GBK" w:eastAsia="方正小标宋_GBK" w:cs="方正小标宋_GBK"/>
          <w:i w:val="0"/>
          <w:color w:val="000000"/>
          <w:kern w:val="0"/>
          <w:sz w:val="36"/>
          <w:szCs w:val="36"/>
          <w:highlight w:val="none"/>
          <w:u w:val="none"/>
          <w:lang w:val="en-US" w:eastAsia="zh-CN" w:bidi="ar"/>
        </w:rPr>
      </w:pPr>
      <w:r>
        <w:rPr>
          <w:rFonts w:hint="eastAsia" w:ascii="方正小标宋_GBK" w:hAnsi="方正小标宋_GBK" w:eastAsia="方正小标宋_GBK" w:cs="方正小标宋_GBK"/>
          <w:i w:val="0"/>
          <w:color w:val="000000"/>
          <w:kern w:val="0"/>
          <w:sz w:val="36"/>
          <w:szCs w:val="36"/>
          <w:highlight w:val="none"/>
          <w:u w:val="none"/>
          <w:lang w:val="en-US" w:eastAsia="zh-CN" w:bidi="ar"/>
        </w:rPr>
        <w:t>农业经营主体</w:t>
      </w:r>
      <w:r>
        <w:rPr>
          <w:rFonts w:hint="default" w:ascii="方正小标宋_GBK" w:hAnsi="方正小标宋_GBK" w:eastAsia="方正小标宋_GBK" w:cs="方正小标宋_GBK"/>
          <w:i w:val="0"/>
          <w:color w:val="000000"/>
          <w:kern w:val="0"/>
          <w:sz w:val="36"/>
          <w:szCs w:val="36"/>
          <w:highlight w:val="none"/>
          <w:u w:val="none"/>
          <w:lang w:val="en-US" w:eastAsia="zh-CN" w:bidi="ar"/>
        </w:rPr>
        <w:t>贷款利息明细表</w:t>
      </w:r>
    </w:p>
    <w:p w14:paraId="5D6B0483">
      <w:pPr>
        <w:rPr>
          <w:rFonts w:hint="default" w:ascii="Times New Roman" w:hAnsi="Times New Roman" w:eastAsia="方正仿宋_GBK" w:cs="Times New Roman"/>
          <w:b w:val="0"/>
          <w:bCs/>
          <w:color w:val="000000"/>
          <w:sz w:val="24"/>
          <w:szCs w:val="24"/>
          <w:highlight w:val="none"/>
        </w:rPr>
      </w:pPr>
      <w:r>
        <w:rPr>
          <w:rFonts w:hint="default" w:ascii="Times New Roman" w:hAnsi="Times New Roman" w:eastAsia="方正仿宋_GBK" w:cs="Times New Roman"/>
          <w:b w:val="0"/>
          <w:bCs/>
          <w:color w:val="000000"/>
          <w:sz w:val="24"/>
          <w:szCs w:val="24"/>
          <w:highlight w:val="none"/>
        </w:rPr>
        <w:t>填报单位</w:t>
      </w:r>
      <w:r>
        <w:rPr>
          <w:rFonts w:hint="eastAsia" w:eastAsia="方正仿宋_GBK" w:cs="Times New Roman"/>
          <w:b w:val="0"/>
          <w:bCs/>
          <w:color w:val="000000"/>
          <w:sz w:val="24"/>
          <w:szCs w:val="24"/>
          <w:highlight w:val="none"/>
          <w:lang w:eastAsia="zh-CN"/>
        </w:rPr>
        <w:t>（个人）</w:t>
      </w:r>
      <w:r>
        <w:rPr>
          <w:rFonts w:hint="default" w:ascii="Times New Roman" w:hAnsi="Times New Roman" w:eastAsia="方正仿宋_GBK" w:cs="Times New Roman"/>
          <w:b w:val="0"/>
          <w:bCs/>
          <w:color w:val="000000"/>
          <w:sz w:val="24"/>
          <w:szCs w:val="24"/>
          <w:highlight w:val="none"/>
        </w:rPr>
        <w:t>：xxxx（</w:t>
      </w:r>
      <w:r>
        <w:rPr>
          <w:rFonts w:hint="eastAsia" w:eastAsia="方正仿宋_GBK" w:cs="Times New Roman"/>
          <w:b w:val="0"/>
          <w:bCs/>
          <w:color w:val="000000"/>
          <w:sz w:val="24"/>
          <w:szCs w:val="24"/>
          <w:highlight w:val="none"/>
          <w:lang w:eastAsia="zh-CN"/>
        </w:rPr>
        <w:t>签</w:t>
      </w:r>
      <w:r>
        <w:rPr>
          <w:rFonts w:hint="default" w:ascii="Times New Roman" w:hAnsi="Times New Roman" w:eastAsia="方正仿宋_GBK" w:cs="Times New Roman"/>
          <w:b w:val="0"/>
          <w:bCs/>
          <w:color w:val="000000"/>
          <w:sz w:val="24"/>
          <w:szCs w:val="24"/>
          <w:highlight w:val="none"/>
        </w:rPr>
        <w:t>章）</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228"/>
        <w:gridCol w:w="291"/>
        <w:gridCol w:w="1099"/>
        <w:gridCol w:w="610"/>
        <w:gridCol w:w="642"/>
        <w:gridCol w:w="1068"/>
        <w:gridCol w:w="880"/>
        <w:gridCol w:w="1038"/>
        <w:gridCol w:w="211"/>
        <w:gridCol w:w="1252"/>
        <w:gridCol w:w="269"/>
        <w:gridCol w:w="1530"/>
        <w:gridCol w:w="288"/>
        <w:gridCol w:w="1252"/>
      </w:tblGrid>
      <w:tr w14:paraId="32E65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3737" w:type="dxa"/>
            <w:gridSpan w:val="3"/>
            <w:tcBorders>
              <w:top w:val="single" w:color="auto" w:sz="4" w:space="0"/>
              <w:left w:val="single" w:color="auto" w:sz="4" w:space="0"/>
              <w:bottom w:val="single" w:color="auto" w:sz="4" w:space="0"/>
              <w:right w:val="single" w:color="auto" w:sz="4" w:space="0"/>
            </w:tcBorders>
            <w:noWrap w:val="0"/>
            <w:vAlign w:val="center"/>
          </w:tcPr>
          <w:p w14:paraId="7C85D9B0">
            <w:pPr>
              <w:jc w:val="center"/>
              <w:rPr>
                <w:rFonts w:hint="eastAsia" w:ascii="方正黑体_GBK" w:hAnsi="方正黑体_GBK" w:eastAsia="方正黑体_GBK" w:cs="方正黑体_GBK"/>
                <w:b w:val="0"/>
                <w:bCs/>
                <w:color w:val="000000"/>
                <w:spacing w:val="-6"/>
                <w:position w:val="-6"/>
                <w:sz w:val="24"/>
                <w:szCs w:val="24"/>
                <w:highlight w:val="none"/>
              </w:rPr>
            </w:pPr>
            <w:r>
              <w:rPr>
                <w:rFonts w:hint="eastAsia" w:ascii="方正黑体_GBK" w:hAnsi="方正黑体_GBK" w:eastAsia="方正黑体_GBK" w:cs="方正黑体_GBK"/>
                <w:b w:val="0"/>
                <w:bCs/>
                <w:color w:val="000000"/>
                <w:spacing w:val="-6"/>
                <w:position w:val="-6"/>
                <w:sz w:val="24"/>
                <w:szCs w:val="24"/>
                <w:highlight w:val="none"/>
              </w:rPr>
              <w:t>贷款银行</w:t>
            </w:r>
          </w:p>
        </w:tc>
        <w:tc>
          <w:tcPr>
            <w:tcW w:w="1709" w:type="dxa"/>
            <w:gridSpan w:val="2"/>
            <w:tcBorders>
              <w:top w:val="single" w:color="auto" w:sz="4" w:space="0"/>
              <w:left w:val="single" w:color="auto" w:sz="4" w:space="0"/>
              <w:bottom w:val="single" w:color="auto" w:sz="4" w:space="0"/>
              <w:right w:val="single" w:color="auto" w:sz="4" w:space="0"/>
            </w:tcBorders>
            <w:noWrap w:val="0"/>
            <w:vAlign w:val="center"/>
          </w:tcPr>
          <w:p w14:paraId="5AB57973">
            <w:pPr>
              <w:jc w:val="center"/>
              <w:rPr>
                <w:rFonts w:hint="eastAsia" w:ascii="方正黑体_GBK" w:hAnsi="方正黑体_GBK" w:eastAsia="方正黑体_GBK" w:cs="方正黑体_GBK"/>
                <w:b w:val="0"/>
                <w:bCs/>
                <w:color w:val="000000"/>
                <w:position w:val="-6"/>
                <w:sz w:val="24"/>
                <w:szCs w:val="24"/>
                <w:highlight w:val="none"/>
              </w:rPr>
            </w:pPr>
            <w:r>
              <w:rPr>
                <w:rFonts w:hint="eastAsia" w:ascii="方正黑体_GBK" w:hAnsi="方正黑体_GBK" w:eastAsia="方正黑体_GBK" w:cs="方正黑体_GBK"/>
                <w:b w:val="0"/>
                <w:bCs/>
                <w:color w:val="000000"/>
                <w:position w:val="-6"/>
                <w:sz w:val="24"/>
                <w:szCs w:val="24"/>
                <w:highlight w:val="none"/>
              </w:rPr>
              <w:t>合同编号</w:t>
            </w:r>
          </w:p>
        </w:tc>
        <w:tc>
          <w:tcPr>
            <w:tcW w:w="1710" w:type="dxa"/>
            <w:gridSpan w:val="2"/>
            <w:tcBorders>
              <w:top w:val="single" w:color="auto" w:sz="4" w:space="0"/>
              <w:left w:val="single" w:color="auto" w:sz="4" w:space="0"/>
              <w:bottom w:val="single" w:color="auto" w:sz="4" w:space="0"/>
              <w:right w:val="single" w:color="auto" w:sz="4" w:space="0"/>
            </w:tcBorders>
            <w:noWrap w:val="0"/>
            <w:vAlign w:val="center"/>
          </w:tcPr>
          <w:p w14:paraId="6C5232E1">
            <w:pPr>
              <w:jc w:val="center"/>
              <w:rPr>
                <w:rFonts w:hint="eastAsia" w:ascii="方正黑体_GBK" w:hAnsi="方正黑体_GBK" w:eastAsia="方正黑体_GBK" w:cs="方正黑体_GBK"/>
                <w:b w:val="0"/>
                <w:bCs/>
                <w:color w:val="000000"/>
                <w:position w:val="-6"/>
                <w:sz w:val="24"/>
                <w:szCs w:val="24"/>
                <w:highlight w:val="none"/>
              </w:rPr>
            </w:pPr>
            <w:r>
              <w:rPr>
                <w:rFonts w:hint="eastAsia" w:ascii="方正黑体_GBK" w:hAnsi="方正黑体_GBK" w:eastAsia="方正黑体_GBK" w:cs="方正黑体_GBK"/>
                <w:b w:val="0"/>
                <w:bCs/>
                <w:color w:val="000000"/>
                <w:position w:val="-6"/>
                <w:sz w:val="24"/>
                <w:szCs w:val="24"/>
                <w:highlight w:val="none"/>
              </w:rPr>
              <w:t>贷款用途</w:t>
            </w:r>
          </w:p>
        </w:tc>
        <w:tc>
          <w:tcPr>
            <w:tcW w:w="1918" w:type="dxa"/>
            <w:gridSpan w:val="2"/>
            <w:tcBorders>
              <w:top w:val="single" w:color="auto" w:sz="4" w:space="0"/>
              <w:left w:val="single" w:color="auto" w:sz="4" w:space="0"/>
              <w:bottom w:val="single" w:color="auto" w:sz="4" w:space="0"/>
              <w:right w:val="single" w:color="auto" w:sz="4" w:space="0"/>
            </w:tcBorders>
            <w:noWrap w:val="0"/>
            <w:vAlign w:val="center"/>
          </w:tcPr>
          <w:p w14:paraId="67F18306">
            <w:pPr>
              <w:rPr>
                <w:rFonts w:hint="eastAsia" w:ascii="方正黑体_GBK" w:hAnsi="方正黑体_GBK" w:eastAsia="方正黑体_GBK" w:cs="方正黑体_GBK"/>
                <w:b w:val="0"/>
                <w:bCs/>
                <w:color w:val="000000"/>
                <w:spacing w:val="-6"/>
                <w:position w:val="-6"/>
                <w:sz w:val="24"/>
                <w:szCs w:val="24"/>
                <w:highlight w:val="none"/>
              </w:rPr>
            </w:pPr>
            <w:r>
              <w:rPr>
                <w:rFonts w:hint="eastAsia" w:ascii="方正黑体_GBK" w:hAnsi="方正黑体_GBK" w:eastAsia="方正黑体_GBK" w:cs="方正黑体_GBK"/>
                <w:b w:val="0"/>
                <w:bCs/>
                <w:color w:val="000000"/>
                <w:spacing w:val="-6"/>
                <w:position w:val="-6"/>
                <w:sz w:val="24"/>
                <w:szCs w:val="24"/>
                <w:highlight w:val="none"/>
              </w:rPr>
              <w:t>贷款金额（万元）</w:t>
            </w:r>
          </w:p>
        </w:tc>
        <w:tc>
          <w:tcPr>
            <w:tcW w:w="1732" w:type="dxa"/>
            <w:gridSpan w:val="3"/>
            <w:tcBorders>
              <w:top w:val="single" w:color="auto" w:sz="4" w:space="0"/>
              <w:left w:val="single" w:color="auto" w:sz="4" w:space="0"/>
              <w:bottom w:val="single" w:color="auto" w:sz="4" w:space="0"/>
              <w:right w:val="single" w:color="auto" w:sz="4" w:space="0"/>
            </w:tcBorders>
            <w:noWrap w:val="0"/>
            <w:vAlign w:val="center"/>
          </w:tcPr>
          <w:p w14:paraId="699EBCF1">
            <w:pPr>
              <w:jc w:val="center"/>
              <w:rPr>
                <w:rFonts w:hint="eastAsia" w:ascii="方正黑体_GBK" w:hAnsi="方正黑体_GBK" w:eastAsia="方正黑体_GBK" w:cs="方正黑体_GBK"/>
                <w:b w:val="0"/>
                <w:bCs/>
                <w:color w:val="000000"/>
                <w:spacing w:val="-6"/>
                <w:position w:val="-6"/>
                <w:sz w:val="24"/>
                <w:szCs w:val="24"/>
                <w:highlight w:val="none"/>
              </w:rPr>
            </w:pPr>
            <w:r>
              <w:rPr>
                <w:rFonts w:hint="eastAsia" w:ascii="方正黑体_GBK" w:hAnsi="方正黑体_GBK" w:eastAsia="方正黑体_GBK" w:cs="方正黑体_GBK"/>
                <w:b w:val="0"/>
                <w:bCs/>
                <w:color w:val="000000"/>
                <w:sz w:val="24"/>
                <w:szCs w:val="24"/>
                <w:highlight w:val="none"/>
              </w:rPr>
              <w:t>贷款利率（%）</w:t>
            </w:r>
          </w:p>
        </w:tc>
        <w:tc>
          <w:tcPr>
            <w:tcW w:w="1530" w:type="dxa"/>
            <w:tcBorders>
              <w:top w:val="single" w:color="auto" w:sz="4" w:space="0"/>
              <w:left w:val="single" w:color="auto" w:sz="4" w:space="0"/>
              <w:bottom w:val="single" w:color="auto" w:sz="4" w:space="0"/>
              <w:right w:val="single" w:color="auto" w:sz="4" w:space="0"/>
            </w:tcBorders>
            <w:noWrap w:val="0"/>
            <w:vAlign w:val="center"/>
          </w:tcPr>
          <w:p w14:paraId="57D15C45">
            <w:pPr>
              <w:jc w:val="center"/>
              <w:rPr>
                <w:rFonts w:hint="eastAsia" w:ascii="方正黑体_GBK" w:hAnsi="方正黑体_GBK" w:eastAsia="方正黑体_GBK" w:cs="方正黑体_GBK"/>
                <w:b w:val="0"/>
                <w:bCs/>
                <w:color w:val="000000"/>
                <w:spacing w:val="-6"/>
                <w:position w:val="-6"/>
                <w:sz w:val="24"/>
                <w:szCs w:val="24"/>
                <w:highlight w:val="none"/>
              </w:rPr>
            </w:pPr>
            <w:r>
              <w:rPr>
                <w:rFonts w:hint="eastAsia" w:ascii="方正黑体_GBK" w:hAnsi="方正黑体_GBK" w:eastAsia="方正黑体_GBK" w:cs="方正黑体_GBK"/>
                <w:b w:val="0"/>
                <w:bCs/>
                <w:color w:val="000000"/>
                <w:spacing w:val="-6"/>
                <w:position w:val="-6"/>
                <w:sz w:val="24"/>
                <w:szCs w:val="24"/>
                <w:highlight w:val="none"/>
              </w:rPr>
              <w:t>借款日期</w:t>
            </w:r>
          </w:p>
        </w:tc>
        <w:tc>
          <w:tcPr>
            <w:tcW w:w="1540" w:type="dxa"/>
            <w:gridSpan w:val="2"/>
            <w:tcBorders>
              <w:top w:val="single" w:color="auto" w:sz="4" w:space="0"/>
              <w:left w:val="single" w:color="auto" w:sz="4" w:space="0"/>
              <w:bottom w:val="single" w:color="auto" w:sz="4" w:space="0"/>
              <w:right w:val="single" w:color="auto" w:sz="4" w:space="0"/>
            </w:tcBorders>
            <w:noWrap w:val="0"/>
            <w:vAlign w:val="center"/>
          </w:tcPr>
          <w:p w14:paraId="7BC7A097">
            <w:pPr>
              <w:jc w:val="center"/>
              <w:rPr>
                <w:rFonts w:hint="eastAsia" w:ascii="方正黑体_GBK" w:hAnsi="方正黑体_GBK" w:eastAsia="方正黑体_GBK" w:cs="方正黑体_GBK"/>
                <w:b w:val="0"/>
                <w:bCs/>
                <w:color w:val="000000"/>
                <w:spacing w:val="-6"/>
                <w:position w:val="-6"/>
                <w:sz w:val="24"/>
                <w:szCs w:val="24"/>
                <w:highlight w:val="none"/>
              </w:rPr>
            </w:pPr>
            <w:r>
              <w:rPr>
                <w:rFonts w:hint="eastAsia" w:ascii="方正黑体_GBK" w:hAnsi="方正黑体_GBK" w:eastAsia="方正黑体_GBK" w:cs="方正黑体_GBK"/>
                <w:b w:val="0"/>
                <w:bCs/>
                <w:color w:val="000000"/>
                <w:spacing w:val="-6"/>
                <w:position w:val="-6"/>
                <w:sz w:val="24"/>
                <w:szCs w:val="24"/>
                <w:highlight w:val="none"/>
              </w:rPr>
              <w:t>到期日期</w:t>
            </w:r>
          </w:p>
        </w:tc>
      </w:tr>
      <w:tr w14:paraId="3E478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737" w:type="dxa"/>
            <w:gridSpan w:val="3"/>
            <w:tcBorders>
              <w:top w:val="single" w:color="auto" w:sz="4" w:space="0"/>
              <w:left w:val="single" w:color="auto" w:sz="4" w:space="0"/>
              <w:bottom w:val="single" w:color="auto" w:sz="4" w:space="0"/>
              <w:right w:val="single" w:color="auto" w:sz="4" w:space="0"/>
            </w:tcBorders>
            <w:noWrap w:val="0"/>
            <w:vAlign w:val="center"/>
          </w:tcPr>
          <w:p w14:paraId="5E5E52D8">
            <w:pPr>
              <w:jc w:val="center"/>
              <w:rPr>
                <w:rFonts w:hint="default" w:ascii="Times New Roman" w:hAnsi="Times New Roman" w:eastAsia="方正仿宋_GBK" w:cs="Times New Roman"/>
                <w:b w:val="0"/>
                <w:bCs/>
                <w:color w:val="000000"/>
                <w:sz w:val="24"/>
                <w:szCs w:val="24"/>
                <w:highlight w:val="none"/>
              </w:rPr>
            </w:pPr>
          </w:p>
        </w:tc>
        <w:tc>
          <w:tcPr>
            <w:tcW w:w="1709" w:type="dxa"/>
            <w:gridSpan w:val="2"/>
            <w:tcBorders>
              <w:top w:val="single" w:color="auto" w:sz="4" w:space="0"/>
              <w:left w:val="single" w:color="auto" w:sz="4" w:space="0"/>
              <w:bottom w:val="single" w:color="auto" w:sz="4" w:space="0"/>
              <w:right w:val="single" w:color="auto" w:sz="4" w:space="0"/>
            </w:tcBorders>
            <w:noWrap w:val="0"/>
            <w:vAlign w:val="center"/>
          </w:tcPr>
          <w:p w14:paraId="42F19BBA">
            <w:pPr>
              <w:jc w:val="center"/>
              <w:rPr>
                <w:rFonts w:hint="default" w:ascii="Times New Roman" w:hAnsi="Times New Roman" w:eastAsia="方正仿宋_GBK" w:cs="Times New Roman"/>
                <w:b w:val="0"/>
                <w:bCs/>
                <w:color w:val="000000"/>
                <w:sz w:val="24"/>
                <w:szCs w:val="24"/>
                <w:highlight w:val="none"/>
              </w:rPr>
            </w:pPr>
          </w:p>
        </w:tc>
        <w:tc>
          <w:tcPr>
            <w:tcW w:w="1710" w:type="dxa"/>
            <w:gridSpan w:val="2"/>
            <w:tcBorders>
              <w:top w:val="single" w:color="auto" w:sz="4" w:space="0"/>
              <w:left w:val="single" w:color="auto" w:sz="4" w:space="0"/>
              <w:bottom w:val="single" w:color="auto" w:sz="4" w:space="0"/>
              <w:right w:val="single" w:color="auto" w:sz="4" w:space="0"/>
            </w:tcBorders>
            <w:noWrap w:val="0"/>
            <w:vAlign w:val="center"/>
          </w:tcPr>
          <w:p w14:paraId="164CB6F4">
            <w:pPr>
              <w:jc w:val="center"/>
              <w:rPr>
                <w:rFonts w:hint="default" w:ascii="Times New Roman" w:hAnsi="Times New Roman" w:eastAsia="方正仿宋_GBK" w:cs="Times New Roman"/>
                <w:b w:val="0"/>
                <w:bCs/>
                <w:color w:val="000000"/>
                <w:sz w:val="24"/>
                <w:szCs w:val="24"/>
                <w:highlight w:val="none"/>
              </w:rPr>
            </w:pPr>
          </w:p>
        </w:tc>
        <w:tc>
          <w:tcPr>
            <w:tcW w:w="1918" w:type="dxa"/>
            <w:gridSpan w:val="2"/>
            <w:tcBorders>
              <w:top w:val="single" w:color="auto" w:sz="4" w:space="0"/>
              <w:left w:val="single" w:color="auto" w:sz="4" w:space="0"/>
              <w:bottom w:val="single" w:color="auto" w:sz="4" w:space="0"/>
              <w:right w:val="single" w:color="auto" w:sz="4" w:space="0"/>
            </w:tcBorders>
            <w:noWrap w:val="0"/>
            <w:vAlign w:val="center"/>
          </w:tcPr>
          <w:p w14:paraId="70C3BED5">
            <w:pPr>
              <w:jc w:val="center"/>
              <w:rPr>
                <w:rFonts w:hint="default" w:ascii="Times New Roman" w:hAnsi="Times New Roman" w:eastAsia="方正仿宋_GBK" w:cs="Times New Roman"/>
                <w:b w:val="0"/>
                <w:bCs/>
                <w:color w:val="000000"/>
                <w:sz w:val="24"/>
                <w:szCs w:val="24"/>
                <w:highlight w:val="none"/>
              </w:rPr>
            </w:pPr>
          </w:p>
        </w:tc>
        <w:tc>
          <w:tcPr>
            <w:tcW w:w="1732" w:type="dxa"/>
            <w:gridSpan w:val="3"/>
            <w:tcBorders>
              <w:top w:val="single" w:color="auto" w:sz="4" w:space="0"/>
              <w:left w:val="single" w:color="auto" w:sz="4" w:space="0"/>
              <w:bottom w:val="single" w:color="auto" w:sz="4" w:space="0"/>
              <w:right w:val="single" w:color="auto" w:sz="4" w:space="0"/>
            </w:tcBorders>
            <w:noWrap w:val="0"/>
            <w:vAlign w:val="center"/>
          </w:tcPr>
          <w:p w14:paraId="2CB50C5D">
            <w:pPr>
              <w:jc w:val="center"/>
              <w:rPr>
                <w:rFonts w:hint="default" w:ascii="Times New Roman" w:hAnsi="Times New Roman" w:eastAsia="方正仿宋_GBK" w:cs="Times New Roman"/>
                <w:b w:val="0"/>
                <w:bCs/>
                <w:color w:val="000000"/>
                <w:sz w:val="24"/>
                <w:szCs w:val="24"/>
                <w:highlight w:val="none"/>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14:paraId="0C84C35D">
            <w:pPr>
              <w:jc w:val="center"/>
              <w:rPr>
                <w:rFonts w:hint="default" w:ascii="Times New Roman" w:hAnsi="Times New Roman" w:eastAsia="方正仿宋_GBK" w:cs="Times New Roman"/>
                <w:b w:val="0"/>
                <w:bCs/>
                <w:color w:val="000000"/>
                <w:sz w:val="24"/>
                <w:szCs w:val="24"/>
                <w:highlight w:val="none"/>
              </w:rPr>
            </w:pPr>
          </w:p>
        </w:tc>
        <w:tc>
          <w:tcPr>
            <w:tcW w:w="1540" w:type="dxa"/>
            <w:gridSpan w:val="2"/>
            <w:tcBorders>
              <w:top w:val="single" w:color="auto" w:sz="4" w:space="0"/>
              <w:left w:val="single" w:color="auto" w:sz="4" w:space="0"/>
              <w:bottom w:val="single" w:color="auto" w:sz="4" w:space="0"/>
              <w:right w:val="single" w:color="auto" w:sz="4" w:space="0"/>
            </w:tcBorders>
            <w:noWrap w:val="0"/>
            <w:vAlign w:val="center"/>
          </w:tcPr>
          <w:p w14:paraId="37E5B0C5">
            <w:pPr>
              <w:jc w:val="center"/>
              <w:rPr>
                <w:rFonts w:hint="default" w:ascii="Times New Roman" w:hAnsi="Times New Roman" w:eastAsia="方正仿宋_GBK" w:cs="Times New Roman"/>
                <w:b w:val="0"/>
                <w:bCs/>
                <w:color w:val="000000"/>
                <w:sz w:val="24"/>
                <w:szCs w:val="24"/>
                <w:highlight w:val="none"/>
              </w:rPr>
            </w:pPr>
          </w:p>
        </w:tc>
      </w:tr>
      <w:tr w14:paraId="03D1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737" w:type="dxa"/>
            <w:gridSpan w:val="3"/>
            <w:tcBorders>
              <w:top w:val="single" w:color="auto" w:sz="4" w:space="0"/>
              <w:left w:val="single" w:color="auto" w:sz="4" w:space="0"/>
              <w:bottom w:val="single" w:color="auto" w:sz="4" w:space="0"/>
              <w:right w:val="single" w:color="auto" w:sz="4" w:space="0"/>
            </w:tcBorders>
            <w:noWrap w:val="0"/>
            <w:vAlign w:val="center"/>
          </w:tcPr>
          <w:p w14:paraId="6763AF1C">
            <w:pPr>
              <w:jc w:val="center"/>
              <w:rPr>
                <w:rFonts w:hint="default" w:ascii="Times New Roman" w:hAnsi="Times New Roman" w:eastAsia="方正仿宋_GBK" w:cs="Times New Roman"/>
                <w:b w:val="0"/>
                <w:bCs/>
                <w:color w:val="000000"/>
                <w:sz w:val="24"/>
                <w:szCs w:val="24"/>
                <w:highlight w:val="none"/>
              </w:rPr>
            </w:pPr>
          </w:p>
        </w:tc>
        <w:tc>
          <w:tcPr>
            <w:tcW w:w="1709" w:type="dxa"/>
            <w:gridSpan w:val="2"/>
            <w:tcBorders>
              <w:top w:val="single" w:color="auto" w:sz="4" w:space="0"/>
              <w:left w:val="single" w:color="auto" w:sz="4" w:space="0"/>
              <w:bottom w:val="single" w:color="auto" w:sz="4" w:space="0"/>
              <w:right w:val="single" w:color="auto" w:sz="4" w:space="0"/>
            </w:tcBorders>
            <w:noWrap w:val="0"/>
            <w:vAlign w:val="center"/>
          </w:tcPr>
          <w:p w14:paraId="46DB84C9">
            <w:pPr>
              <w:jc w:val="center"/>
              <w:rPr>
                <w:rFonts w:hint="default" w:ascii="Times New Roman" w:hAnsi="Times New Roman" w:eastAsia="方正仿宋_GBK" w:cs="Times New Roman"/>
                <w:b w:val="0"/>
                <w:bCs/>
                <w:color w:val="000000"/>
                <w:sz w:val="24"/>
                <w:szCs w:val="24"/>
                <w:highlight w:val="none"/>
              </w:rPr>
            </w:pPr>
          </w:p>
        </w:tc>
        <w:tc>
          <w:tcPr>
            <w:tcW w:w="1710" w:type="dxa"/>
            <w:gridSpan w:val="2"/>
            <w:tcBorders>
              <w:top w:val="single" w:color="auto" w:sz="4" w:space="0"/>
              <w:left w:val="single" w:color="auto" w:sz="4" w:space="0"/>
              <w:bottom w:val="single" w:color="auto" w:sz="4" w:space="0"/>
              <w:right w:val="single" w:color="auto" w:sz="4" w:space="0"/>
            </w:tcBorders>
            <w:noWrap w:val="0"/>
            <w:vAlign w:val="center"/>
          </w:tcPr>
          <w:p w14:paraId="16311A51">
            <w:pPr>
              <w:jc w:val="center"/>
              <w:rPr>
                <w:rFonts w:hint="default" w:ascii="Times New Roman" w:hAnsi="Times New Roman" w:eastAsia="方正仿宋_GBK" w:cs="Times New Roman"/>
                <w:b w:val="0"/>
                <w:bCs/>
                <w:color w:val="000000"/>
                <w:sz w:val="24"/>
                <w:szCs w:val="24"/>
                <w:highlight w:val="none"/>
              </w:rPr>
            </w:pPr>
          </w:p>
        </w:tc>
        <w:tc>
          <w:tcPr>
            <w:tcW w:w="1918" w:type="dxa"/>
            <w:gridSpan w:val="2"/>
            <w:tcBorders>
              <w:top w:val="single" w:color="auto" w:sz="4" w:space="0"/>
              <w:left w:val="single" w:color="auto" w:sz="4" w:space="0"/>
              <w:bottom w:val="single" w:color="auto" w:sz="4" w:space="0"/>
              <w:right w:val="single" w:color="auto" w:sz="4" w:space="0"/>
            </w:tcBorders>
            <w:noWrap w:val="0"/>
            <w:vAlign w:val="center"/>
          </w:tcPr>
          <w:p w14:paraId="1D46C908">
            <w:pPr>
              <w:jc w:val="center"/>
              <w:rPr>
                <w:rFonts w:hint="default" w:ascii="Times New Roman" w:hAnsi="Times New Roman" w:eastAsia="方正仿宋_GBK" w:cs="Times New Roman"/>
                <w:b w:val="0"/>
                <w:bCs/>
                <w:color w:val="000000"/>
                <w:sz w:val="24"/>
                <w:szCs w:val="24"/>
                <w:highlight w:val="none"/>
              </w:rPr>
            </w:pPr>
          </w:p>
        </w:tc>
        <w:tc>
          <w:tcPr>
            <w:tcW w:w="1732" w:type="dxa"/>
            <w:gridSpan w:val="3"/>
            <w:tcBorders>
              <w:top w:val="single" w:color="auto" w:sz="4" w:space="0"/>
              <w:left w:val="single" w:color="auto" w:sz="4" w:space="0"/>
              <w:bottom w:val="single" w:color="auto" w:sz="4" w:space="0"/>
              <w:right w:val="single" w:color="auto" w:sz="4" w:space="0"/>
            </w:tcBorders>
            <w:noWrap w:val="0"/>
            <w:vAlign w:val="center"/>
          </w:tcPr>
          <w:p w14:paraId="27778250">
            <w:pPr>
              <w:jc w:val="center"/>
              <w:rPr>
                <w:rFonts w:hint="default" w:ascii="Times New Roman" w:hAnsi="Times New Roman" w:eastAsia="方正仿宋_GBK" w:cs="Times New Roman"/>
                <w:b w:val="0"/>
                <w:bCs/>
                <w:color w:val="000000"/>
                <w:sz w:val="24"/>
                <w:szCs w:val="24"/>
                <w:highlight w:val="none"/>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14:paraId="599CF428">
            <w:pPr>
              <w:jc w:val="center"/>
              <w:rPr>
                <w:rFonts w:hint="default" w:ascii="Times New Roman" w:hAnsi="Times New Roman" w:eastAsia="方正仿宋_GBK" w:cs="Times New Roman"/>
                <w:b w:val="0"/>
                <w:bCs/>
                <w:color w:val="000000"/>
                <w:sz w:val="24"/>
                <w:szCs w:val="24"/>
                <w:highlight w:val="none"/>
              </w:rPr>
            </w:pPr>
          </w:p>
        </w:tc>
        <w:tc>
          <w:tcPr>
            <w:tcW w:w="1540" w:type="dxa"/>
            <w:gridSpan w:val="2"/>
            <w:tcBorders>
              <w:top w:val="single" w:color="auto" w:sz="4" w:space="0"/>
              <w:left w:val="single" w:color="auto" w:sz="4" w:space="0"/>
              <w:bottom w:val="single" w:color="auto" w:sz="4" w:space="0"/>
              <w:right w:val="single" w:color="auto" w:sz="4" w:space="0"/>
            </w:tcBorders>
            <w:noWrap w:val="0"/>
            <w:vAlign w:val="center"/>
          </w:tcPr>
          <w:p w14:paraId="05CEFCDC">
            <w:pPr>
              <w:jc w:val="center"/>
              <w:rPr>
                <w:rFonts w:hint="default" w:ascii="Times New Roman" w:hAnsi="Times New Roman" w:eastAsia="方正仿宋_GBK" w:cs="Times New Roman"/>
                <w:b w:val="0"/>
                <w:bCs/>
                <w:color w:val="000000"/>
                <w:sz w:val="24"/>
                <w:szCs w:val="24"/>
                <w:highlight w:val="none"/>
              </w:rPr>
            </w:pPr>
          </w:p>
        </w:tc>
      </w:tr>
      <w:tr w14:paraId="75395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737" w:type="dxa"/>
            <w:gridSpan w:val="3"/>
            <w:tcBorders>
              <w:top w:val="single" w:color="auto" w:sz="4" w:space="0"/>
              <w:left w:val="single" w:color="auto" w:sz="4" w:space="0"/>
              <w:bottom w:val="single" w:color="auto" w:sz="4" w:space="0"/>
              <w:right w:val="single" w:color="auto" w:sz="4" w:space="0"/>
            </w:tcBorders>
            <w:noWrap w:val="0"/>
            <w:vAlign w:val="center"/>
          </w:tcPr>
          <w:p w14:paraId="30E3184C">
            <w:pPr>
              <w:jc w:val="center"/>
              <w:rPr>
                <w:rFonts w:hint="default" w:ascii="Times New Roman" w:hAnsi="Times New Roman" w:eastAsia="方正仿宋_GBK" w:cs="Times New Roman"/>
                <w:b w:val="0"/>
                <w:bCs/>
                <w:color w:val="000000"/>
                <w:sz w:val="24"/>
                <w:szCs w:val="24"/>
                <w:highlight w:val="none"/>
              </w:rPr>
            </w:pPr>
          </w:p>
        </w:tc>
        <w:tc>
          <w:tcPr>
            <w:tcW w:w="1709" w:type="dxa"/>
            <w:gridSpan w:val="2"/>
            <w:tcBorders>
              <w:top w:val="single" w:color="auto" w:sz="4" w:space="0"/>
              <w:left w:val="single" w:color="auto" w:sz="4" w:space="0"/>
              <w:bottom w:val="single" w:color="auto" w:sz="4" w:space="0"/>
              <w:right w:val="single" w:color="auto" w:sz="4" w:space="0"/>
            </w:tcBorders>
            <w:noWrap w:val="0"/>
            <w:vAlign w:val="center"/>
          </w:tcPr>
          <w:p w14:paraId="70BBCF4A">
            <w:pPr>
              <w:jc w:val="center"/>
              <w:rPr>
                <w:rFonts w:hint="default" w:ascii="Times New Roman" w:hAnsi="Times New Roman" w:eastAsia="方正仿宋_GBK" w:cs="Times New Roman"/>
                <w:b w:val="0"/>
                <w:bCs/>
                <w:color w:val="000000"/>
                <w:sz w:val="24"/>
                <w:szCs w:val="24"/>
                <w:highlight w:val="none"/>
              </w:rPr>
            </w:pPr>
          </w:p>
        </w:tc>
        <w:tc>
          <w:tcPr>
            <w:tcW w:w="1710" w:type="dxa"/>
            <w:gridSpan w:val="2"/>
            <w:tcBorders>
              <w:top w:val="single" w:color="auto" w:sz="4" w:space="0"/>
              <w:left w:val="single" w:color="auto" w:sz="4" w:space="0"/>
              <w:bottom w:val="single" w:color="auto" w:sz="4" w:space="0"/>
              <w:right w:val="single" w:color="auto" w:sz="4" w:space="0"/>
            </w:tcBorders>
            <w:noWrap w:val="0"/>
            <w:vAlign w:val="center"/>
          </w:tcPr>
          <w:p w14:paraId="5F70E88E">
            <w:pPr>
              <w:jc w:val="center"/>
              <w:rPr>
                <w:rFonts w:hint="default" w:ascii="Times New Roman" w:hAnsi="Times New Roman" w:eastAsia="方正仿宋_GBK" w:cs="Times New Roman"/>
                <w:b w:val="0"/>
                <w:bCs/>
                <w:color w:val="000000"/>
                <w:sz w:val="24"/>
                <w:szCs w:val="24"/>
                <w:highlight w:val="none"/>
              </w:rPr>
            </w:pPr>
          </w:p>
        </w:tc>
        <w:tc>
          <w:tcPr>
            <w:tcW w:w="1918" w:type="dxa"/>
            <w:gridSpan w:val="2"/>
            <w:tcBorders>
              <w:top w:val="single" w:color="auto" w:sz="4" w:space="0"/>
              <w:left w:val="single" w:color="auto" w:sz="4" w:space="0"/>
              <w:bottom w:val="single" w:color="auto" w:sz="4" w:space="0"/>
              <w:right w:val="single" w:color="auto" w:sz="4" w:space="0"/>
            </w:tcBorders>
            <w:noWrap w:val="0"/>
            <w:vAlign w:val="center"/>
          </w:tcPr>
          <w:p w14:paraId="50A7446F">
            <w:pPr>
              <w:jc w:val="center"/>
              <w:rPr>
                <w:rFonts w:hint="default" w:ascii="Times New Roman" w:hAnsi="Times New Roman" w:eastAsia="方正仿宋_GBK" w:cs="Times New Roman"/>
                <w:b w:val="0"/>
                <w:bCs/>
                <w:color w:val="000000"/>
                <w:sz w:val="24"/>
                <w:szCs w:val="24"/>
                <w:highlight w:val="none"/>
              </w:rPr>
            </w:pPr>
          </w:p>
        </w:tc>
        <w:tc>
          <w:tcPr>
            <w:tcW w:w="1732" w:type="dxa"/>
            <w:gridSpan w:val="3"/>
            <w:tcBorders>
              <w:top w:val="single" w:color="auto" w:sz="4" w:space="0"/>
              <w:left w:val="single" w:color="auto" w:sz="4" w:space="0"/>
              <w:bottom w:val="single" w:color="auto" w:sz="4" w:space="0"/>
              <w:right w:val="single" w:color="auto" w:sz="4" w:space="0"/>
            </w:tcBorders>
            <w:noWrap w:val="0"/>
            <w:vAlign w:val="center"/>
          </w:tcPr>
          <w:p w14:paraId="7B6EAB86">
            <w:pPr>
              <w:jc w:val="center"/>
              <w:rPr>
                <w:rFonts w:hint="default" w:ascii="Times New Roman" w:hAnsi="Times New Roman" w:eastAsia="方正仿宋_GBK" w:cs="Times New Roman"/>
                <w:b w:val="0"/>
                <w:bCs/>
                <w:color w:val="000000"/>
                <w:sz w:val="24"/>
                <w:szCs w:val="24"/>
                <w:highlight w:val="none"/>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14:paraId="6714D28F">
            <w:pPr>
              <w:jc w:val="center"/>
              <w:rPr>
                <w:rFonts w:hint="default" w:ascii="Times New Roman" w:hAnsi="Times New Roman" w:eastAsia="方正仿宋_GBK" w:cs="Times New Roman"/>
                <w:b w:val="0"/>
                <w:bCs/>
                <w:color w:val="000000"/>
                <w:sz w:val="24"/>
                <w:szCs w:val="24"/>
                <w:highlight w:val="none"/>
              </w:rPr>
            </w:pPr>
          </w:p>
        </w:tc>
        <w:tc>
          <w:tcPr>
            <w:tcW w:w="1540" w:type="dxa"/>
            <w:gridSpan w:val="2"/>
            <w:tcBorders>
              <w:top w:val="single" w:color="auto" w:sz="4" w:space="0"/>
              <w:left w:val="single" w:color="auto" w:sz="4" w:space="0"/>
              <w:bottom w:val="single" w:color="auto" w:sz="4" w:space="0"/>
              <w:right w:val="single" w:color="auto" w:sz="4" w:space="0"/>
            </w:tcBorders>
            <w:noWrap w:val="0"/>
            <w:vAlign w:val="center"/>
          </w:tcPr>
          <w:p w14:paraId="167E08CE">
            <w:pPr>
              <w:jc w:val="center"/>
              <w:rPr>
                <w:rFonts w:hint="default" w:ascii="Times New Roman" w:hAnsi="Times New Roman" w:eastAsia="方正仿宋_GBK" w:cs="Times New Roman"/>
                <w:b w:val="0"/>
                <w:bCs/>
                <w:color w:val="000000"/>
                <w:sz w:val="24"/>
                <w:szCs w:val="24"/>
                <w:highlight w:val="none"/>
              </w:rPr>
            </w:pPr>
          </w:p>
        </w:tc>
      </w:tr>
      <w:tr w14:paraId="0C49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4836" w:type="dxa"/>
            <w:gridSpan w:val="4"/>
            <w:tcBorders>
              <w:top w:val="single" w:color="auto" w:sz="4" w:space="0"/>
              <w:left w:val="single" w:color="auto" w:sz="4" w:space="0"/>
              <w:bottom w:val="single" w:color="auto" w:sz="4" w:space="0"/>
              <w:right w:val="single" w:color="auto" w:sz="4" w:space="0"/>
            </w:tcBorders>
            <w:noWrap w:val="0"/>
            <w:vAlign w:val="center"/>
          </w:tcPr>
          <w:p w14:paraId="2674C9E8">
            <w:pP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借据号:</w:t>
            </w:r>
          </w:p>
        </w:tc>
        <w:tc>
          <w:tcPr>
            <w:tcW w:w="4449" w:type="dxa"/>
            <w:gridSpan w:val="6"/>
            <w:tcBorders>
              <w:top w:val="single" w:color="auto" w:sz="4" w:space="0"/>
              <w:left w:val="single" w:color="auto" w:sz="4" w:space="0"/>
              <w:bottom w:val="single" w:color="auto" w:sz="4" w:space="0"/>
              <w:right w:val="single" w:color="auto" w:sz="4" w:space="0"/>
            </w:tcBorders>
            <w:noWrap w:val="0"/>
            <w:vAlign w:val="center"/>
          </w:tcPr>
          <w:p w14:paraId="14D2F762">
            <w:pP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借据号:</w:t>
            </w:r>
          </w:p>
        </w:tc>
        <w:tc>
          <w:tcPr>
            <w:tcW w:w="4591" w:type="dxa"/>
            <w:gridSpan w:val="5"/>
            <w:tcBorders>
              <w:top w:val="single" w:color="auto" w:sz="4" w:space="0"/>
              <w:left w:val="single" w:color="auto" w:sz="4" w:space="0"/>
              <w:bottom w:val="single" w:color="auto" w:sz="4" w:space="0"/>
              <w:right w:val="single" w:color="auto" w:sz="4" w:space="0"/>
            </w:tcBorders>
            <w:noWrap w:val="0"/>
            <w:vAlign w:val="center"/>
          </w:tcPr>
          <w:p w14:paraId="3579EF39">
            <w:pP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借据号:</w:t>
            </w:r>
          </w:p>
        </w:tc>
      </w:tr>
      <w:tr w14:paraId="24EB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218" w:type="dxa"/>
            <w:tcBorders>
              <w:top w:val="single" w:color="auto" w:sz="4" w:space="0"/>
              <w:left w:val="single" w:color="auto" w:sz="4" w:space="0"/>
              <w:bottom w:val="single" w:color="auto" w:sz="4" w:space="0"/>
              <w:right w:val="single" w:color="auto" w:sz="4" w:space="0"/>
            </w:tcBorders>
            <w:noWrap w:val="0"/>
            <w:vAlign w:val="center"/>
          </w:tcPr>
          <w:p w14:paraId="0107FAC8">
            <w:pPr>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付息日期</w:t>
            </w:r>
          </w:p>
        </w:tc>
        <w:tc>
          <w:tcPr>
            <w:tcW w:w="2228" w:type="dxa"/>
            <w:tcBorders>
              <w:top w:val="single" w:color="auto" w:sz="4" w:space="0"/>
              <w:left w:val="single" w:color="auto" w:sz="4" w:space="0"/>
              <w:bottom w:val="single" w:color="auto" w:sz="4" w:space="0"/>
              <w:right w:val="single" w:color="auto" w:sz="4" w:space="0"/>
            </w:tcBorders>
            <w:noWrap w:val="0"/>
            <w:vAlign w:val="center"/>
          </w:tcPr>
          <w:p w14:paraId="69287EE3">
            <w:pPr>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票据号</w:t>
            </w: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50AE6541">
            <w:pPr>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金额（元）</w:t>
            </w: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29C33CDC">
            <w:pPr>
              <w:ind w:left="137" w:hanging="136" w:hangingChars="57"/>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付息日期</w:t>
            </w: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2397D43A">
            <w:pPr>
              <w:ind w:left="137" w:hanging="136" w:hangingChars="57"/>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票据号</w:t>
            </w: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5AA9EF2D">
            <w:pPr>
              <w:ind w:left="137" w:hanging="136" w:hangingChars="57"/>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金额（元）</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3481E19">
            <w:pPr>
              <w:ind w:left="137" w:hanging="136" w:hangingChars="57"/>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付息日期</w:t>
            </w: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0A2D860A">
            <w:pPr>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票据号</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3CB359F8">
            <w:pPr>
              <w:jc w:val="center"/>
              <w:rPr>
                <w:rFonts w:hint="eastAsia" w:ascii="方正黑体_GBK" w:hAnsi="方正黑体_GBK" w:eastAsia="方正黑体_GBK" w:cs="方正黑体_GBK"/>
                <w:b w:val="0"/>
                <w:bCs/>
                <w:color w:val="000000"/>
                <w:sz w:val="24"/>
                <w:szCs w:val="24"/>
                <w:highlight w:val="none"/>
              </w:rPr>
            </w:pPr>
            <w:r>
              <w:rPr>
                <w:rFonts w:hint="eastAsia" w:ascii="方正黑体_GBK" w:hAnsi="方正黑体_GBK" w:eastAsia="方正黑体_GBK" w:cs="方正黑体_GBK"/>
                <w:b w:val="0"/>
                <w:bCs/>
                <w:color w:val="000000"/>
                <w:sz w:val="24"/>
                <w:szCs w:val="24"/>
                <w:highlight w:val="none"/>
              </w:rPr>
              <w:t>金额（元）</w:t>
            </w:r>
          </w:p>
        </w:tc>
      </w:tr>
      <w:tr w14:paraId="15835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218" w:type="dxa"/>
            <w:tcBorders>
              <w:top w:val="single" w:color="auto" w:sz="4" w:space="0"/>
              <w:left w:val="single" w:color="auto" w:sz="4" w:space="0"/>
              <w:right w:val="single" w:color="auto" w:sz="4" w:space="0"/>
            </w:tcBorders>
            <w:noWrap w:val="0"/>
            <w:vAlign w:val="center"/>
          </w:tcPr>
          <w:p w14:paraId="7E312B9F">
            <w:pPr>
              <w:widowControl/>
              <w:jc w:val="left"/>
              <w:rPr>
                <w:rFonts w:hint="default" w:ascii="Times New Roman" w:hAnsi="Times New Roman" w:eastAsia="方正仿宋_GBK" w:cs="Times New Roman"/>
                <w:b w:val="0"/>
                <w:bCs/>
                <w:color w:val="000000"/>
                <w:sz w:val="24"/>
                <w:szCs w:val="24"/>
                <w:highlight w:val="none"/>
              </w:rPr>
            </w:pPr>
          </w:p>
        </w:tc>
        <w:tc>
          <w:tcPr>
            <w:tcW w:w="2228" w:type="dxa"/>
            <w:tcBorders>
              <w:top w:val="single" w:color="auto" w:sz="4" w:space="0"/>
              <w:left w:val="single" w:color="auto" w:sz="4" w:space="0"/>
              <w:bottom w:val="single" w:color="auto" w:sz="4" w:space="0"/>
              <w:right w:val="single" w:color="auto" w:sz="4" w:space="0"/>
            </w:tcBorders>
            <w:noWrap w:val="0"/>
            <w:vAlign w:val="center"/>
          </w:tcPr>
          <w:p w14:paraId="50176A6C">
            <w:pPr>
              <w:jc w:val="center"/>
              <w:rPr>
                <w:rFonts w:hint="default" w:ascii="Times New Roman" w:hAnsi="Times New Roman" w:eastAsia="方正仿宋_GBK" w:cs="Times New Roman"/>
                <w:b w:val="0"/>
                <w:bCs/>
                <w:color w:val="000000"/>
                <w:sz w:val="24"/>
                <w:szCs w:val="24"/>
                <w:highlight w:val="none"/>
              </w:rPr>
            </w:pP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670ADF13">
            <w:pPr>
              <w:jc w:val="center"/>
              <w:rPr>
                <w:rFonts w:hint="default" w:ascii="Times New Roman" w:hAnsi="Times New Roman" w:eastAsia="方正仿宋_GBK" w:cs="Times New Roman"/>
                <w:b w:val="0"/>
                <w:bCs/>
                <w:color w:val="000000"/>
                <w:sz w:val="24"/>
                <w:szCs w:val="24"/>
                <w:highlight w:val="none"/>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595FF151">
            <w:pPr>
              <w:jc w:val="center"/>
              <w:rPr>
                <w:rFonts w:hint="default" w:ascii="Times New Roman" w:hAnsi="Times New Roman" w:eastAsia="方正仿宋_GBK" w:cs="Times New Roman"/>
                <w:b w:val="0"/>
                <w:bCs/>
                <w:color w:val="000000"/>
                <w:sz w:val="24"/>
                <w:szCs w:val="24"/>
                <w:highlight w:val="none"/>
              </w:rPr>
            </w:pP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361D6E24">
            <w:pPr>
              <w:jc w:val="center"/>
              <w:rPr>
                <w:rFonts w:hint="default" w:ascii="Times New Roman" w:hAnsi="Times New Roman" w:eastAsia="方正仿宋_GBK" w:cs="Times New Roman"/>
                <w:b w:val="0"/>
                <w:bCs/>
                <w:color w:val="000000"/>
                <w:sz w:val="24"/>
                <w:szCs w:val="24"/>
                <w:highlight w:val="none"/>
              </w:rPr>
            </w:pP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41CDAC65">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4D30B44">
            <w:pPr>
              <w:jc w:val="center"/>
              <w:rPr>
                <w:rFonts w:hint="default" w:ascii="Times New Roman" w:hAnsi="Times New Roman" w:eastAsia="方正仿宋_GBK" w:cs="Times New Roman"/>
                <w:b w:val="0"/>
                <w:bCs/>
                <w:color w:val="000000"/>
                <w:sz w:val="24"/>
                <w:szCs w:val="24"/>
                <w:highlight w:val="none"/>
              </w:rPr>
            </w:pP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5EF27F75">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46F859D0">
            <w:pPr>
              <w:jc w:val="center"/>
              <w:rPr>
                <w:rFonts w:hint="default" w:ascii="Times New Roman" w:hAnsi="Times New Roman" w:eastAsia="方正仿宋_GBK" w:cs="Times New Roman"/>
                <w:b w:val="0"/>
                <w:bCs/>
                <w:color w:val="000000"/>
                <w:sz w:val="24"/>
                <w:szCs w:val="24"/>
                <w:highlight w:val="none"/>
              </w:rPr>
            </w:pPr>
          </w:p>
        </w:tc>
      </w:tr>
      <w:tr w14:paraId="2A949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18" w:type="dxa"/>
            <w:tcBorders>
              <w:top w:val="single" w:color="auto" w:sz="4" w:space="0"/>
              <w:left w:val="single" w:color="auto" w:sz="4" w:space="0"/>
              <w:right w:val="single" w:color="auto" w:sz="4" w:space="0"/>
            </w:tcBorders>
            <w:noWrap w:val="0"/>
            <w:vAlign w:val="center"/>
          </w:tcPr>
          <w:p w14:paraId="1F8B40FA">
            <w:pPr>
              <w:widowControl/>
              <w:jc w:val="left"/>
              <w:rPr>
                <w:rFonts w:hint="default" w:ascii="Times New Roman" w:hAnsi="Times New Roman" w:eastAsia="方正仿宋_GBK" w:cs="Times New Roman"/>
                <w:b w:val="0"/>
                <w:bCs/>
                <w:color w:val="000000"/>
                <w:sz w:val="24"/>
                <w:szCs w:val="24"/>
                <w:highlight w:val="none"/>
              </w:rPr>
            </w:pPr>
          </w:p>
        </w:tc>
        <w:tc>
          <w:tcPr>
            <w:tcW w:w="2228" w:type="dxa"/>
            <w:tcBorders>
              <w:top w:val="single" w:color="auto" w:sz="4" w:space="0"/>
              <w:left w:val="single" w:color="auto" w:sz="4" w:space="0"/>
              <w:bottom w:val="single" w:color="auto" w:sz="4" w:space="0"/>
              <w:right w:val="single" w:color="auto" w:sz="4" w:space="0"/>
            </w:tcBorders>
            <w:noWrap w:val="0"/>
            <w:vAlign w:val="center"/>
          </w:tcPr>
          <w:p w14:paraId="774362C7">
            <w:pPr>
              <w:jc w:val="center"/>
              <w:rPr>
                <w:rFonts w:hint="default" w:ascii="Times New Roman" w:hAnsi="Times New Roman" w:eastAsia="方正仿宋_GBK" w:cs="Times New Roman"/>
                <w:b w:val="0"/>
                <w:bCs/>
                <w:color w:val="000000"/>
                <w:sz w:val="24"/>
                <w:szCs w:val="24"/>
                <w:highlight w:val="none"/>
              </w:rPr>
            </w:pP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5D87AC70">
            <w:pPr>
              <w:jc w:val="center"/>
              <w:rPr>
                <w:rFonts w:hint="default" w:ascii="Times New Roman" w:hAnsi="Times New Roman" w:eastAsia="方正仿宋_GBK" w:cs="Times New Roman"/>
                <w:b w:val="0"/>
                <w:bCs/>
                <w:color w:val="000000"/>
                <w:sz w:val="24"/>
                <w:szCs w:val="24"/>
                <w:highlight w:val="none"/>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08CBFC04">
            <w:pPr>
              <w:jc w:val="center"/>
              <w:rPr>
                <w:rFonts w:hint="default" w:ascii="Times New Roman" w:hAnsi="Times New Roman" w:eastAsia="方正仿宋_GBK" w:cs="Times New Roman"/>
                <w:b w:val="0"/>
                <w:bCs/>
                <w:color w:val="000000"/>
                <w:sz w:val="24"/>
                <w:szCs w:val="24"/>
                <w:highlight w:val="none"/>
              </w:rPr>
            </w:pP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40ACA690">
            <w:pPr>
              <w:jc w:val="center"/>
              <w:rPr>
                <w:rFonts w:hint="default" w:ascii="Times New Roman" w:hAnsi="Times New Roman" w:eastAsia="方正仿宋_GBK" w:cs="Times New Roman"/>
                <w:b w:val="0"/>
                <w:bCs/>
                <w:color w:val="000000"/>
                <w:sz w:val="24"/>
                <w:szCs w:val="24"/>
                <w:highlight w:val="none"/>
              </w:rPr>
            </w:pP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75B3826F">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9A21CDB">
            <w:pPr>
              <w:jc w:val="center"/>
              <w:rPr>
                <w:rFonts w:hint="default" w:ascii="Times New Roman" w:hAnsi="Times New Roman" w:eastAsia="方正仿宋_GBK" w:cs="Times New Roman"/>
                <w:b w:val="0"/>
                <w:bCs/>
                <w:color w:val="000000"/>
                <w:sz w:val="24"/>
                <w:szCs w:val="24"/>
                <w:highlight w:val="none"/>
              </w:rPr>
            </w:pP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0E41A604">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0001DC7A">
            <w:pPr>
              <w:jc w:val="center"/>
              <w:rPr>
                <w:rFonts w:hint="default" w:ascii="Times New Roman" w:hAnsi="Times New Roman" w:eastAsia="方正仿宋_GBK" w:cs="Times New Roman"/>
                <w:b w:val="0"/>
                <w:bCs/>
                <w:color w:val="000000"/>
                <w:sz w:val="24"/>
                <w:szCs w:val="24"/>
                <w:highlight w:val="none"/>
              </w:rPr>
            </w:pPr>
          </w:p>
        </w:tc>
      </w:tr>
      <w:tr w14:paraId="52D6B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218" w:type="dxa"/>
            <w:tcBorders>
              <w:top w:val="single" w:color="auto" w:sz="4" w:space="0"/>
              <w:left w:val="single" w:color="auto" w:sz="4" w:space="0"/>
              <w:right w:val="single" w:color="auto" w:sz="4" w:space="0"/>
            </w:tcBorders>
            <w:noWrap w:val="0"/>
            <w:vAlign w:val="center"/>
          </w:tcPr>
          <w:p w14:paraId="14BDF53C">
            <w:pPr>
              <w:widowControl/>
              <w:jc w:val="left"/>
              <w:rPr>
                <w:rFonts w:hint="default" w:ascii="Times New Roman" w:hAnsi="Times New Roman" w:eastAsia="方正仿宋_GBK" w:cs="Times New Roman"/>
                <w:b w:val="0"/>
                <w:bCs/>
                <w:color w:val="000000"/>
                <w:sz w:val="24"/>
                <w:szCs w:val="24"/>
                <w:highlight w:val="none"/>
              </w:rPr>
            </w:pPr>
          </w:p>
        </w:tc>
        <w:tc>
          <w:tcPr>
            <w:tcW w:w="2228" w:type="dxa"/>
            <w:tcBorders>
              <w:top w:val="single" w:color="auto" w:sz="4" w:space="0"/>
              <w:left w:val="single" w:color="auto" w:sz="4" w:space="0"/>
              <w:bottom w:val="single" w:color="auto" w:sz="4" w:space="0"/>
              <w:right w:val="single" w:color="auto" w:sz="4" w:space="0"/>
            </w:tcBorders>
            <w:noWrap w:val="0"/>
            <w:vAlign w:val="center"/>
          </w:tcPr>
          <w:p w14:paraId="6D572568">
            <w:pPr>
              <w:jc w:val="center"/>
              <w:rPr>
                <w:rFonts w:hint="default" w:ascii="Times New Roman" w:hAnsi="Times New Roman" w:eastAsia="方正仿宋_GBK" w:cs="Times New Roman"/>
                <w:b w:val="0"/>
                <w:bCs/>
                <w:color w:val="000000"/>
                <w:sz w:val="24"/>
                <w:szCs w:val="24"/>
                <w:highlight w:val="none"/>
              </w:rPr>
            </w:pP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183F11E6">
            <w:pPr>
              <w:jc w:val="center"/>
              <w:rPr>
                <w:rFonts w:hint="default" w:ascii="Times New Roman" w:hAnsi="Times New Roman" w:eastAsia="方正仿宋_GBK" w:cs="Times New Roman"/>
                <w:b w:val="0"/>
                <w:bCs/>
                <w:color w:val="000000"/>
                <w:sz w:val="24"/>
                <w:szCs w:val="24"/>
                <w:highlight w:val="none"/>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0D06DBC5">
            <w:pPr>
              <w:jc w:val="center"/>
              <w:rPr>
                <w:rFonts w:hint="default" w:ascii="Times New Roman" w:hAnsi="Times New Roman" w:eastAsia="方正仿宋_GBK" w:cs="Times New Roman"/>
                <w:b w:val="0"/>
                <w:bCs/>
                <w:color w:val="000000"/>
                <w:sz w:val="24"/>
                <w:szCs w:val="24"/>
                <w:highlight w:val="none"/>
              </w:rPr>
            </w:pP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08A00A70">
            <w:pPr>
              <w:jc w:val="center"/>
              <w:rPr>
                <w:rFonts w:hint="default" w:ascii="Times New Roman" w:hAnsi="Times New Roman" w:eastAsia="方正仿宋_GBK" w:cs="Times New Roman"/>
                <w:b w:val="0"/>
                <w:bCs/>
                <w:color w:val="000000"/>
                <w:sz w:val="24"/>
                <w:szCs w:val="24"/>
                <w:highlight w:val="none"/>
              </w:rPr>
            </w:pP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3F1F098D">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48CCD844">
            <w:pPr>
              <w:jc w:val="center"/>
              <w:rPr>
                <w:rFonts w:hint="default" w:ascii="Times New Roman" w:hAnsi="Times New Roman" w:eastAsia="方正仿宋_GBK" w:cs="Times New Roman"/>
                <w:b w:val="0"/>
                <w:bCs/>
                <w:color w:val="000000"/>
                <w:sz w:val="24"/>
                <w:szCs w:val="24"/>
                <w:highlight w:val="none"/>
              </w:rPr>
            </w:pP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6A14FF45">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FF001C9">
            <w:pPr>
              <w:jc w:val="center"/>
              <w:rPr>
                <w:rFonts w:hint="default" w:ascii="Times New Roman" w:hAnsi="Times New Roman" w:eastAsia="方正仿宋_GBK" w:cs="Times New Roman"/>
                <w:b w:val="0"/>
                <w:bCs/>
                <w:color w:val="000000"/>
                <w:sz w:val="24"/>
                <w:szCs w:val="24"/>
                <w:highlight w:val="none"/>
              </w:rPr>
            </w:pPr>
          </w:p>
        </w:tc>
      </w:tr>
      <w:tr w14:paraId="5101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18" w:type="dxa"/>
            <w:tcBorders>
              <w:top w:val="single" w:color="auto" w:sz="4" w:space="0"/>
              <w:left w:val="single" w:color="auto" w:sz="4" w:space="0"/>
              <w:right w:val="single" w:color="auto" w:sz="4" w:space="0"/>
            </w:tcBorders>
            <w:noWrap w:val="0"/>
            <w:vAlign w:val="center"/>
          </w:tcPr>
          <w:p w14:paraId="3D97D612">
            <w:pPr>
              <w:widowControl/>
              <w:jc w:val="left"/>
              <w:rPr>
                <w:rFonts w:hint="default" w:ascii="Times New Roman" w:hAnsi="Times New Roman" w:eastAsia="方正仿宋_GBK" w:cs="Times New Roman"/>
                <w:b w:val="0"/>
                <w:bCs/>
                <w:color w:val="000000"/>
                <w:sz w:val="24"/>
                <w:szCs w:val="24"/>
                <w:highlight w:val="none"/>
              </w:rPr>
            </w:pPr>
          </w:p>
        </w:tc>
        <w:tc>
          <w:tcPr>
            <w:tcW w:w="2228" w:type="dxa"/>
            <w:tcBorders>
              <w:top w:val="single" w:color="auto" w:sz="4" w:space="0"/>
              <w:left w:val="single" w:color="auto" w:sz="4" w:space="0"/>
              <w:bottom w:val="single" w:color="auto" w:sz="4" w:space="0"/>
              <w:right w:val="single" w:color="auto" w:sz="4" w:space="0"/>
            </w:tcBorders>
            <w:noWrap w:val="0"/>
            <w:vAlign w:val="center"/>
          </w:tcPr>
          <w:p w14:paraId="72FE1711">
            <w:pPr>
              <w:jc w:val="center"/>
              <w:rPr>
                <w:rFonts w:hint="default" w:ascii="Times New Roman" w:hAnsi="Times New Roman" w:eastAsia="方正仿宋_GBK" w:cs="Times New Roman"/>
                <w:b w:val="0"/>
                <w:bCs/>
                <w:color w:val="000000"/>
                <w:sz w:val="24"/>
                <w:szCs w:val="24"/>
                <w:highlight w:val="none"/>
              </w:rPr>
            </w:pP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2E3A1163">
            <w:pPr>
              <w:jc w:val="center"/>
              <w:rPr>
                <w:rFonts w:hint="default" w:ascii="Times New Roman" w:hAnsi="Times New Roman" w:eastAsia="方正仿宋_GBK" w:cs="Times New Roman"/>
                <w:b w:val="0"/>
                <w:bCs/>
                <w:color w:val="000000"/>
                <w:sz w:val="24"/>
                <w:szCs w:val="24"/>
                <w:highlight w:val="none"/>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6E62F647">
            <w:pPr>
              <w:jc w:val="center"/>
              <w:rPr>
                <w:rFonts w:hint="default" w:ascii="Times New Roman" w:hAnsi="Times New Roman" w:eastAsia="方正仿宋_GBK" w:cs="Times New Roman"/>
                <w:b w:val="0"/>
                <w:bCs/>
                <w:color w:val="000000"/>
                <w:sz w:val="24"/>
                <w:szCs w:val="24"/>
                <w:highlight w:val="none"/>
              </w:rPr>
            </w:pP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30978451">
            <w:pPr>
              <w:jc w:val="center"/>
              <w:rPr>
                <w:rFonts w:hint="default" w:ascii="Times New Roman" w:hAnsi="Times New Roman" w:eastAsia="方正仿宋_GBK" w:cs="Times New Roman"/>
                <w:b w:val="0"/>
                <w:bCs/>
                <w:color w:val="000000"/>
                <w:sz w:val="24"/>
                <w:szCs w:val="24"/>
                <w:highlight w:val="none"/>
              </w:rPr>
            </w:pP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1ADF0D1C">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5880965">
            <w:pPr>
              <w:jc w:val="center"/>
              <w:rPr>
                <w:rFonts w:hint="default" w:ascii="Times New Roman" w:hAnsi="Times New Roman" w:eastAsia="方正仿宋_GBK" w:cs="Times New Roman"/>
                <w:b w:val="0"/>
                <w:bCs/>
                <w:color w:val="000000"/>
                <w:sz w:val="24"/>
                <w:szCs w:val="24"/>
                <w:highlight w:val="none"/>
              </w:rPr>
            </w:pP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39B39020">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2EBF16EE">
            <w:pPr>
              <w:jc w:val="center"/>
              <w:rPr>
                <w:rFonts w:hint="default" w:ascii="Times New Roman" w:hAnsi="Times New Roman" w:eastAsia="方正仿宋_GBK" w:cs="Times New Roman"/>
                <w:b w:val="0"/>
                <w:bCs/>
                <w:color w:val="000000"/>
                <w:sz w:val="24"/>
                <w:szCs w:val="24"/>
                <w:highlight w:val="none"/>
              </w:rPr>
            </w:pPr>
          </w:p>
        </w:tc>
      </w:tr>
      <w:tr w14:paraId="6FADB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18" w:type="dxa"/>
            <w:tcBorders>
              <w:top w:val="single" w:color="auto" w:sz="4" w:space="0"/>
              <w:left w:val="single" w:color="auto" w:sz="4" w:space="0"/>
              <w:right w:val="single" w:color="auto" w:sz="4" w:space="0"/>
            </w:tcBorders>
            <w:noWrap w:val="0"/>
            <w:vAlign w:val="center"/>
          </w:tcPr>
          <w:p w14:paraId="7ADBEC4C">
            <w:pPr>
              <w:widowControl/>
              <w:jc w:val="left"/>
              <w:rPr>
                <w:rFonts w:hint="default" w:ascii="Times New Roman" w:hAnsi="Times New Roman" w:eastAsia="方正仿宋_GBK" w:cs="Times New Roman"/>
                <w:b w:val="0"/>
                <w:bCs/>
                <w:color w:val="000000"/>
                <w:sz w:val="24"/>
                <w:szCs w:val="24"/>
                <w:highlight w:val="none"/>
              </w:rPr>
            </w:pPr>
          </w:p>
        </w:tc>
        <w:tc>
          <w:tcPr>
            <w:tcW w:w="2228" w:type="dxa"/>
            <w:tcBorders>
              <w:top w:val="single" w:color="auto" w:sz="4" w:space="0"/>
              <w:left w:val="single" w:color="auto" w:sz="4" w:space="0"/>
              <w:bottom w:val="single" w:color="auto" w:sz="4" w:space="0"/>
              <w:right w:val="single" w:color="auto" w:sz="4" w:space="0"/>
            </w:tcBorders>
            <w:noWrap w:val="0"/>
            <w:vAlign w:val="center"/>
          </w:tcPr>
          <w:p w14:paraId="1E0F7A7E">
            <w:pPr>
              <w:jc w:val="center"/>
              <w:rPr>
                <w:rFonts w:hint="default" w:ascii="Times New Roman" w:hAnsi="Times New Roman" w:eastAsia="方正仿宋_GBK" w:cs="Times New Roman"/>
                <w:b w:val="0"/>
                <w:bCs/>
                <w:color w:val="000000"/>
                <w:sz w:val="24"/>
                <w:szCs w:val="24"/>
                <w:highlight w:val="none"/>
              </w:rPr>
            </w:pP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04A18FCE">
            <w:pPr>
              <w:jc w:val="center"/>
              <w:rPr>
                <w:rFonts w:hint="default" w:ascii="Times New Roman" w:hAnsi="Times New Roman" w:eastAsia="方正仿宋_GBK" w:cs="Times New Roman"/>
                <w:b w:val="0"/>
                <w:bCs/>
                <w:color w:val="000000"/>
                <w:sz w:val="24"/>
                <w:szCs w:val="24"/>
                <w:highlight w:val="none"/>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14:paraId="2283DABC">
            <w:pPr>
              <w:jc w:val="center"/>
              <w:rPr>
                <w:rFonts w:hint="default" w:ascii="Times New Roman" w:hAnsi="Times New Roman" w:eastAsia="方正仿宋_GBK" w:cs="Times New Roman"/>
                <w:b w:val="0"/>
                <w:bCs/>
                <w:color w:val="000000"/>
                <w:sz w:val="24"/>
                <w:szCs w:val="24"/>
                <w:highlight w:val="none"/>
              </w:rPr>
            </w:pP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14:paraId="1AAE1986">
            <w:pPr>
              <w:jc w:val="center"/>
              <w:rPr>
                <w:rFonts w:hint="default" w:ascii="Times New Roman" w:hAnsi="Times New Roman" w:eastAsia="方正仿宋_GBK" w:cs="Times New Roman"/>
                <w:b w:val="0"/>
                <w:bCs/>
                <w:color w:val="000000"/>
                <w:sz w:val="24"/>
                <w:szCs w:val="24"/>
                <w:highlight w:val="none"/>
              </w:rPr>
            </w:pP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55F00B28">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7C343BAD">
            <w:pPr>
              <w:jc w:val="center"/>
              <w:rPr>
                <w:rFonts w:hint="default" w:ascii="Times New Roman" w:hAnsi="Times New Roman" w:eastAsia="方正仿宋_GBK" w:cs="Times New Roman"/>
                <w:b w:val="0"/>
                <w:bCs/>
                <w:color w:val="000000"/>
                <w:sz w:val="24"/>
                <w:szCs w:val="24"/>
                <w:highlight w:val="none"/>
              </w:rPr>
            </w:pPr>
          </w:p>
        </w:tc>
        <w:tc>
          <w:tcPr>
            <w:tcW w:w="2087" w:type="dxa"/>
            <w:gridSpan w:val="3"/>
            <w:tcBorders>
              <w:top w:val="single" w:color="auto" w:sz="4" w:space="0"/>
              <w:left w:val="single" w:color="auto" w:sz="4" w:space="0"/>
              <w:bottom w:val="single" w:color="auto" w:sz="4" w:space="0"/>
              <w:right w:val="single" w:color="auto" w:sz="4" w:space="0"/>
            </w:tcBorders>
            <w:noWrap w:val="0"/>
            <w:vAlign w:val="center"/>
          </w:tcPr>
          <w:p w14:paraId="1F394C9E">
            <w:pPr>
              <w:jc w:val="center"/>
              <w:rPr>
                <w:rFonts w:hint="default" w:ascii="Times New Roman" w:hAnsi="Times New Roman" w:eastAsia="方正仿宋_GBK" w:cs="Times New Roman"/>
                <w:b w:val="0"/>
                <w:bCs/>
                <w:color w:val="000000"/>
                <w:sz w:val="24"/>
                <w:szCs w:val="24"/>
                <w:highlight w:val="none"/>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14:paraId="1BEB295F">
            <w:pPr>
              <w:jc w:val="center"/>
              <w:rPr>
                <w:rFonts w:hint="default" w:ascii="Times New Roman" w:hAnsi="Times New Roman" w:eastAsia="方正仿宋_GBK" w:cs="Times New Roman"/>
                <w:b w:val="0"/>
                <w:bCs/>
                <w:color w:val="000000"/>
                <w:sz w:val="24"/>
                <w:szCs w:val="24"/>
                <w:highlight w:val="none"/>
              </w:rPr>
            </w:pPr>
          </w:p>
        </w:tc>
      </w:tr>
      <w:tr w14:paraId="245B6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446" w:type="dxa"/>
            <w:gridSpan w:val="2"/>
            <w:tcBorders>
              <w:top w:val="single" w:color="auto" w:sz="4" w:space="0"/>
              <w:left w:val="single" w:color="auto" w:sz="4" w:space="0"/>
              <w:right w:val="single" w:color="auto" w:sz="4" w:space="0"/>
            </w:tcBorders>
            <w:noWrap w:val="0"/>
            <w:vAlign w:val="center"/>
          </w:tcPr>
          <w:p w14:paraId="7F0667B9">
            <w:pPr>
              <w:jc w:val="center"/>
              <w:rPr>
                <w:rFonts w:hint="default" w:ascii="Times New Roman" w:hAnsi="Times New Roman" w:eastAsia="方正仿宋_GBK" w:cs="Times New Roman"/>
                <w:b w:val="0"/>
                <w:bCs/>
                <w:color w:val="000000"/>
                <w:sz w:val="24"/>
                <w:szCs w:val="24"/>
                <w:highlight w:val="none"/>
              </w:rPr>
            </w:pPr>
            <w:r>
              <w:rPr>
                <w:rFonts w:hint="default" w:ascii="Times New Roman" w:hAnsi="Times New Roman" w:eastAsia="方正仿宋_GBK" w:cs="Times New Roman"/>
                <w:b w:val="0"/>
                <w:bCs/>
                <w:color w:val="000000"/>
                <w:sz w:val="24"/>
                <w:szCs w:val="24"/>
                <w:highlight w:val="none"/>
              </w:rPr>
              <w:t>合     计</w:t>
            </w:r>
          </w:p>
        </w:tc>
        <w:tc>
          <w:tcPr>
            <w:tcW w:w="1390" w:type="dxa"/>
            <w:gridSpan w:val="2"/>
            <w:tcBorders>
              <w:top w:val="single" w:color="auto" w:sz="4" w:space="0"/>
              <w:left w:val="single" w:color="auto" w:sz="4" w:space="0"/>
              <w:bottom w:val="single" w:color="auto" w:sz="4" w:space="0"/>
              <w:right w:val="single" w:color="auto" w:sz="4" w:space="0"/>
            </w:tcBorders>
            <w:noWrap w:val="0"/>
            <w:vAlign w:val="center"/>
          </w:tcPr>
          <w:p w14:paraId="3F075556">
            <w:pPr>
              <w:jc w:val="center"/>
              <w:rPr>
                <w:rFonts w:hint="default" w:ascii="Times New Roman" w:hAnsi="Times New Roman" w:eastAsia="方正仿宋_GBK" w:cs="Times New Roman"/>
                <w:b w:val="0"/>
                <w:bCs/>
                <w:color w:val="000000"/>
                <w:sz w:val="24"/>
                <w:szCs w:val="24"/>
                <w:highlight w:val="none"/>
              </w:rPr>
            </w:pPr>
          </w:p>
        </w:tc>
        <w:tc>
          <w:tcPr>
            <w:tcW w:w="3200" w:type="dxa"/>
            <w:gridSpan w:val="4"/>
            <w:tcBorders>
              <w:top w:val="single" w:color="auto" w:sz="4" w:space="0"/>
              <w:left w:val="single" w:color="auto" w:sz="4" w:space="0"/>
              <w:bottom w:val="single" w:color="auto" w:sz="4" w:space="0"/>
              <w:right w:val="single" w:color="auto" w:sz="4" w:space="0"/>
            </w:tcBorders>
            <w:noWrap w:val="0"/>
            <w:vAlign w:val="center"/>
          </w:tcPr>
          <w:p w14:paraId="644204A3">
            <w:pPr>
              <w:jc w:val="center"/>
              <w:rPr>
                <w:rFonts w:hint="default" w:ascii="Times New Roman" w:hAnsi="Times New Roman" w:eastAsia="方正仿宋_GBK" w:cs="Times New Roman"/>
                <w:b w:val="0"/>
                <w:bCs/>
                <w:color w:val="000000"/>
                <w:sz w:val="24"/>
                <w:szCs w:val="24"/>
                <w:highlight w:val="none"/>
              </w:rPr>
            </w:pPr>
            <w:r>
              <w:rPr>
                <w:rFonts w:hint="default" w:ascii="Times New Roman" w:hAnsi="Times New Roman" w:eastAsia="方正仿宋_GBK" w:cs="Times New Roman"/>
                <w:b w:val="0"/>
                <w:bCs/>
                <w:color w:val="000000"/>
                <w:sz w:val="24"/>
                <w:szCs w:val="24"/>
                <w:highlight w:val="none"/>
              </w:rPr>
              <w:t>合     计</w:t>
            </w:r>
          </w:p>
        </w:tc>
        <w:tc>
          <w:tcPr>
            <w:tcW w:w="1249" w:type="dxa"/>
            <w:gridSpan w:val="2"/>
            <w:tcBorders>
              <w:top w:val="single" w:color="auto" w:sz="4" w:space="0"/>
              <w:left w:val="single" w:color="auto" w:sz="4" w:space="0"/>
              <w:bottom w:val="single" w:color="auto" w:sz="4" w:space="0"/>
              <w:right w:val="single" w:color="auto" w:sz="4" w:space="0"/>
            </w:tcBorders>
            <w:noWrap w:val="0"/>
            <w:vAlign w:val="center"/>
          </w:tcPr>
          <w:p w14:paraId="7A537858">
            <w:pPr>
              <w:jc w:val="center"/>
              <w:rPr>
                <w:rFonts w:hint="default" w:ascii="Times New Roman" w:hAnsi="Times New Roman" w:eastAsia="方正仿宋_GBK" w:cs="Times New Roman"/>
                <w:b w:val="0"/>
                <w:bCs/>
                <w:color w:val="000000"/>
                <w:sz w:val="24"/>
                <w:szCs w:val="24"/>
                <w:highlight w:val="none"/>
              </w:rPr>
            </w:pPr>
          </w:p>
        </w:tc>
        <w:tc>
          <w:tcPr>
            <w:tcW w:w="3339" w:type="dxa"/>
            <w:gridSpan w:val="4"/>
            <w:tcBorders>
              <w:top w:val="single" w:color="auto" w:sz="4" w:space="0"/>
              <w:left w:val="single" w:color="auto" w:sz="4" w:space="0"/>
              <w:bottom w:val="single" w:color="auto" w:sz="4" w:space="0"/>
              <w:right w:val="single" w:color="auto" w:sz="4" w:space="0"/>
            </w:tcBorders>
            <w:noWrap w:val="0"/>
            <w:vAlign w:val="center"/>
          </w:tcPr>
          <w:p w14:paraId="19E63049">
            <w:pPr>
              <w:jc w:val="center"/>
              <w:rPr>
                <w:rFonts w:hint="default" w:ascii="Times New Roman" w:hAnsi="Times New Roman" w:eastAsia="方正仿宋_GBK" w:cs="Times New Roman"/>
                <w:b w:val="0"/>
                <w:bCs/>
                <w:color w:val="000000"/>
                <w:sz w:val="24"/>
                <w:szCs w:val="24"/>
                <w:highlight w:val="none"/>
              </w:rPr>
            </w:pPr>
            <w:r>
              <w:rPr>
                <w:rFonts w:hint="default" w:ascii="Times New Roman" w:hAnsi="Times New Roman" w:eastAsia="方正仿宋_GBK" w:cs="Times New Roman"/>
                <w:b w:val="0"/>
                <w:bCs/>
                <w:color w:val="000000"/>
                <w:sz w:val="24"/>
                <w:szCs w:val="24"/>
                <w:highlight w:val="none"/>
              </w:rPr>
              <w:t>合     计</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3DC08FA8">
            <w:pPr>
              <w:jc w:val="center"/>
              <w:rPr>
                <w:rFonts w:hint="default" w:ascii="Times New Roman" w:hAnsi="Times New Roman" w:eastAsia="方正仿宋_GBK" w:cs="Times New Roman"/>
                <w:b w:val="0"/>
                <w:bCs/>
                <w:color w:val="000000"/>
                <w:sz w:val="24"/>
                <w:szCs w:val="24"/>
                <w:highlight w:val="none"/>
              </w:rPr>
            </w:pPr>
          </w:p>
        </w:tc>
      </w:tr>
    </w:tbl>
    <w:p w14:paraId="37ACFF67">
      <w:pPr>
        <w:rPr>
          <w:rFonts w:hint="default" w:ascii="Times New Roman" w:hAnsi="Times New Roman" w:eastAsia="方正仿宋_GBK" w:cs="Times New Roman"/>
          <w:b w:val="0"/>
          <w:bCs/>
          <w:color w:val="000000"/>
          <w:sz w:val="24"/>
          <w:szCs w:val="24"/>
          <w:highlight w:val="none"/>
        </w:rPr>
      </w:pPr>
    </w:p>
    <w:p w14:paraId="4F23A3CA">
      <w:pPr>
        <w:spacing w:line="240" w:lineRule="auto"/>
      </w:pPr>
      <w:r>
        <w:rPr>
          <w:rFonts w:hint="default" w:ascii="Times New Roman" w:hAnsi="Times New Roman" w:eastAsia="方正仿宋_GBK" w:cs="Times New Roman"/>
          <w:b w:val="0"/>
          <w:bCs/>
          <w:color w:val="000000"/>
          <w:sz w:val="24"/>
          <w:szCs w:val="24"/>
          <w:highlight w:val="none"/>
        </w:rPr>
        <w:t>备注：此表可根据贷款银行、贷款合同和借据来增减</w:t>
      </w:r>
    </w:p>
    <w:sectPr>
      <w:pgSz w:w="16838" w:h="11906" w:orient="landscape"/>
      <w:pgMar w:top="1588" w:right="2098" w:bottom="1588" w:left="2041" w:header="851" w:footer="1587" w:gutter="0"/>
      <w:pgNumType w:fmt="decimal"/>
      <w:cols w:space="720" w:num="1"/>
      <w:rtlGutter w:val="0"/>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2171C">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91ED69">
                          <w:pPr>
                            <w:pStyle w:val="3"/>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291ED69">
                    <w:pPr>
                      <w:pStyle w:val="3"/>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4BF36">
    <w:pPr>
      <w:pStyle w:val="3"/>
      <w:ind w:right="360"/>
      <w:rPr>
        <w:rFonts w:hint="eastAsia" w:eastAsia="仿宋_GB2312"/>
        <w:lang w:eastAsia="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10613B"/>
    <w:rsid w:val="45106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 w:val="30"/>
      <w:szCs w:val="21"/>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Hyperlink"/>
    <w:basedOn w:val="5"/>
    <w:qFormat/>
    <w:uiPriority w:val="0"/>
    <w:rPr>
      <w:color w:val="0000FF"/>
      <w:u w:val="single"/>
    </w:rPr>
  </w:style>
  <w:style w:type="paragraph" w:customStyle="1" w:styleId="7">
    <w:name w:val="正文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7</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2025-10-30T08:07:00Z</dcterms:created>
  <dc:creator>莫语</dc:creator>
  <cp:lastModifiedBy>莫语</cp:lastModifiedBy>
  <dcterms:modified xsi:type="dcterms:W3CDTF">2025-10-30T08:08:02Z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B22F62B37AD04B20B427465B610C79D5_11</vt:lpwstr>
  </property>
  <property fmtid="{D5CDD505-2E9C-101B-9397-08002B2CF9AE}" pid="4" name="KSOTemplateDocerSaveRecord">
    <vt:lpwstr>eyJoZGlkIjoiOWYzOGRiNDNiM2UxMzI1NzY2YjQ2MDA1ODRkNTQzY2YiLCJ1c2VySWQiOiIzNDA1ODU0MDcifQ==</vt:lpwstr>
  </property>
</Properties>
</file>