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96D43">
      <w:pPr>
        <w:spacing w:line="520" w:lineRule="exac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附件2.</w:t>
      </w:r>
    </w:p>
    <w:p w14:paraId="57246FD9">
      <w:pPr>
        <w:spacing w:line="520" w:lineRule="exact"/>
        <w:rPr>
          <w:rFonts w:hint="eastAsia" w:ascii="方正黑体_GBK" w:hAnsi="方正黑体_GBK" w:eastAsia="方正黑体_GBK" w:cs="方正黑体_GBK"/>
          <w:sz w:val="32"/>
          <w:szCs w:val="32"/>
        </w:rPr>
      </w:pPr>
    </w:p>
    <w:p w14:paraId="220533F0">
      <w:pPr>
        <w:spacing w:line="520" w:lineRule="exact"/>
        <w:jc w:val="center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评审说明</w:t>
      </w:r>
    </w:p>
    <w:p w14:paraId="0646D658">
      <w:pPr>
        <w:spacing w:line="520" w:lineRule="exact"/>
        <w:ind w:firstLine="560" w:firstLineChars="200"/>
        <w:rPr>
          <w:rFonts w:hint="eastAsia" w:ascii="宋体" w:hAnsi="宋体" w:eastAsia="宋体" w:cs="宋体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highlight w:val="none"/>
          <w:lang w:val="en-US" w:eastAsia="zh-CN" w:bidi="ar-SA"/>
        </w:rPr>
        <w:t>本次采购项目采用综合评分法。</w:t>
      </w:r>
      <w:bookmarkStart w:id="0" w:name="_Toc188469662"/>
      <w:r>
        <w:rPr>
          <w:rFonts w:hint="eastAsia" w:ascii="宋体" w:hAnsi="宋体" w:eastAsia="宋体" w:cs="宋体"/>
          <w:kern w:val="2"/>
          <w:sz w:val="28"/>
          <w:szCs w:val="28"/>
          <w:highlight w:val="none"/>
          <w:lang w:val="en-US" w:eastAsia="zh-CN" w:bidi="ar-SA"/>
        </w:rPr>
        <w:t>评审委员会根据本评审办法对已接收的响应文件进行评审，推荐成交候选人并撰写评审报告，最终按照评审报告中成交候选人排序，按得分从高到低的原则确定成交供应商</w:t>
      </w:r>
      <w:bookmarkEnd w:id="0"/>
      <w:r>
        <w:rPr>
          <w:rFonts w:hint="eastAsia" w:ascii="宋体" w:hAnsi="宋体" w:eastAsia="宋体" w:cs="宋体"/>
          <w:kern w:val="2"/>
          <w:sz w:val="28"/>
          <w:szCs w:val="28"/>
          <w:highlight w:val="none"/>
          <w:lang w:val="en-US" w:eastAsia="zh-CN" w:bidi="ar-SA"/>
        </w:rPr>
        <w:t>，评审总分100分。</w:t>
      </w:r>
    </w:p>
    <w:tbl>
      <w:tblPr>
        <w:tblStyle w:val="7"/>
        <w:tblW w:w="94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"/>
        <w:gridCol w:w="1064"/>
        <w:gridCol w:w="850"/>
        <w:gridCol w:w="7042"/>
      </w:tblGrid>
      <w:tr w14:paraId="5BD31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2" w:type="dxa"/>
            <w:vAlign w:val="center"/>
          </w:tcPr>
          <w:p w14:paraId="12EA8D7C">
            <w:pPr>
              <w:snapToGrid w:val="0"/>
              <w:spacing w:line="520" w:lineRule="exac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064" w:type="dxa"/>
            <w:vAlign w:val="center"/>
          </w:tcPr>
          <w:p w14:paraId="3680E02A">
            <w:pPr>
              <w:spacing w:line="520" w:lineRule="exac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评</w:t>
            </w:r>
            <w:r>
              <w:rPr>
                <w:rFonts w:hint="eastAsia" w:eastAsia="方正仿宋_GBK"/>
                <w:b/>
                <w:bCs/>
                <w:sz w:val="28"/>
                <w:szCs w:val="28"/>
              </w:rPr>
              <w:t>分项</w:t>
            </w:r>
          </w:p>
        </w:tc>
        <w:tc>
          <w:tcPr>
            <w:tcW w:w="850" w:type="dxa"/>
            <w:vAlign w:val="center"/>
          </w:tcPr>
          <w:p w14:paraId="4E1AD610">
            <w:pPr>
              <w:spacing w:line="520" w:lineRule="exac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分值</w:t>
            </w:r>
          </w:p>
        </w:tc>
        <w:tc>
          <w:tcPr>
            <w:tcW w:w="7042" w:type="dxa"/>
            <w:vAlign w:val="center"/>
          </w:tcPr>
          <w:p w14:paraId="07BE9FD9">
            <w:pPr>
              <w:spacing w:line="520" w:lineRule="exac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评</w:t>
            </w:r>
            <w:r>
              <w:rPr>
                <w:rFonts w:hint="eastAsia" w:eastAsia="方正仿宋_GBK"/>
                <w:b/>
                <w:bCs/>
                <w:sz w:val="28"/>
                <w:szCs w:val="28"/>
              </w:rPr>
              <w:t>分</w:t>
            </w:r>
            <w:r>
              <w:rPr>
                <w:rFonts w:eastAsia="方正仿宋_GBK"/>
                <w:b/>
                <w:bCs/>
                <w:sz w:val="28"/>
                <w:szCs w:val="28"/>
              </w:rPr>
              <w:t>标准</w:t>
            </w:r>
          </w:p>
        </w:tc>
      </w:tr>
      <w:tr w14:paraId="490F1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462" w:type="dxa"/>
            <w:vAlign w:val="center"/>
          </w:tcPr>
          <w:p w14:paraId="1CDAE930">
            <w:pPr>
              <w:spacing w:line="520" w:lineRule="exact"/>
              <w:ind w:firstLine="560" w:firstLineChars="200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11</w:t>
            </w:r>
          </w:p>
        </w:tc>
        <w:tc>
          <w:tcPr>
            <w:tcW w:w="1064" w:type="dxa"/>
            <w:vAlign w:val="center"/>
          </w:tcPr>
          <w:p w14:paraId="43F44116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比选</w:t>
            </w:r>
          </w:p>
          <w:p w14:paraId="668066EE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报价</w:t>
            </w:r>
          </w:p>
        </w:tc>
        <w:tc>
          <w:tcPr>
            <w:tcW w:w="850" w:type="dxa"/>
            <w:vAlign w:val="center"/>
          </w:tcPr>
          <w:p w14:paraId="6789665D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满分30分</w:t>
            </w:r>
          </w:p>
        </w:tc>
        <w:tc>
          <w:tcPr>
            <w:tcW w:w="7042" w:type="dxa"/>
            <w:vAlign w:val="center"/>
          </w:tcPr>
          <w:p w14:paraId="48F847A4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以有效报价与基准价的偏离值进行打分，每偏离基准价1%，扣1分，扣完为止；偏离值=（参选单位报价-基准价）/基准价*100%。</w:t>
            </w:r>
          </w:p>
          <w:p w14:paraId="66F28FF0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（1）当3≤有效参选单位数量≤5时，基准价=所有参选单位有效报价的平均值；</w:t>
            </w:r>
          </w:p>
          <w:p w14:paraId="5E822026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（2）当有效参选单位数量＞5时，基准价=去掉一个最高价，去掉一个最低价后的所有参选单位有效报价的平均值。</w:t>
            </w:r>
          </w:p>
        </w:tc>
      </w:tr>
      <w:tr w14:paraId="64A43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</w:trPr>
        <w:tc>
          <w:tcPr>
            <w:tcW w:w="462" w:type="dxa"/>
            <w:vAlign w:val="center"/>
          </w:tcPr>
          <w:p w14:paraId="7AE64E43">
            <w:pPr>
              <w:spacing w:line="520" w:lineRule="exact"/>
              <w:ind w:firstLine="560" w:firstLineChars="200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22</w:t>
            </w:r>
          </w:p>
        </w:tc>
        <w:tc>
          <w:tcPr>
            <w:tcW w:w="1064" w:type="dxa"/>
            <w:vAlign w:val="center"/>
          </w:tcPr>
          <w:p w14:paraId="624E67B5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服务</w:t>
            </w:r>
          </w:p>
          <w:p w14:paraId="2B7110E9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方案</w:t>
            </w:r>
          </w:p>
        </w:tc>
        <w:tc>
          <w:tcPr>
            <w:tcW w:w="850" w:type="dxa"/>
            <w:vAlign w:val="center"/>
          </w:tcPr>
          <w:p w14:paraId="5968B83E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满分30分</w:t>
            </w:r>
          </w:p>
        </w:tc>
        <w:tc>
          <w:tcPr>
            <w:tcW w:w="7042" w:type="dxa"/>
            <w:vAlign w:val="center"/>
          </w:tcPr>
          <w:p w14:paraId="5A9D1C67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（1）鱼药供货服务工作方案详细，针对性强，内容具体，能充分体现比选单位项目特点，供货及服务工作内容详细、合理、可行的，得20～30分；</w:t>
            </w:r>
          </w:p>
          <w:p w14:paraId="2381E9B7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（2）能提供有针对性的供货及服务工作方案，内容基本完整，有合理的服务工作周期的，得10～19分；</w:t>
            </w:r>
          </w:p>
          <w:p w14:paraId="32928762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（3）供货及服务工作方案内容不完整，缺乏针对性的，得0～9分。</w:t>
            </w:r>
          </w:p>
        </w:tc>
      </w:tr>
      <w:tr w14:paraId="33528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</w:trPr>
        <w:tc>
          <w:tcPr>
            <w:tcW w:w="462" w:type="dxa"/>
            <w:vAlign w:val="center"/>
          </w:tcPr>
          <w:p w14:paraId="3F98C8E0">
            <w:pPr>
              <w:spacing w:line="520" w:lineRule="exact"/>
              <w:ind w:firstLine="560" w:firstLineChars="200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33</w:t>
            </w:r>
          </w:p>
        </w:tc>
        <w:tc>
          <w:tcPr>
            <w:tcW w:w="1064" w:type="dxa"/>
            <w:vAlign w:val="center"/>
          </w:tcPr>
          <w:p w14:paraId="07BCC57A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质量承诺及保证措施</w:t>
            </w:r>
          </w:p>
        </w:tc>
        <w:tc>
          <w:tcPr>
            <w:tcW w:w="850" w:type="dxa"/>
            <w:vAlign w:val="center"/>
          </w:tcPr>
          <w:p w14:paraId="1F3ED4F7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满分30分</w:t>
            </w:r>
          </w:p>
        </w:tc>
        <w:tc>
          <w:tcPr>
            <w:tcW w:w="7042" w:type="dxa"/>
            <w:vAlign w:val="center"/>
          </w:tcPr>
          <w:p w14:paraId="788F5254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（1）货品的质量承诺及保证措施内容具体，详细，切实可行，并附有具体违约承诺的，得20～30分；</w:t>
            </w:r>
          </w:p>
          <w:p w14:paraId="322EC37C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（2）货品的质量承诺及保证措施内容不够具体，且无具体违约承诺的，得10～19分；</w:t>
            </w:r>
          </w:p>
          <w:p w14:paraId="71FF47E7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（3）货品的质量承诺及保证措施粗略、无违约承诺的，得0～9分。</w:t>
            </w:r>
          </w:p>
        </w:tc>
      </w:tr>
      <w:tr w14:paraId="5A077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5" w:hRule="atLeast"/>
        </w:trPr>
        <w:tc>
          <w:tcPr>
            <w:tcW w:w="462" w:type="dxa"/>
            <w:vAlign w:val="center"/>
          </w:tcPr>
          <w:p w14:paraId="74695D2D">
            <w:pPr>
              <w:spacing w:line="520" w:lineRule="exact"/>
              <w:ind w:firstLine="560" w:firstLineChars="200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44</w:t>
            </w:r>
          </w:p>
        </w:tc>
        <w:tc>
          <w:tcPr>
            <w:tcW w:w="1064" w:type="dxa"/>
            <w:vAlign w:val="center"/>
          </w:tcPr>
          <w:p w14:paraId="5ACB0C04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业绩</w:t>
            </w:r>
          </w:p>
        </w:tc>
        <w:tc>
          <w:tcPr>
            <w:tcW w:w="850" w:type="dxa"/>
            <w:vAlign w:val="center"/>
          </w:tcPr>
          <w:p w14:paraId="1B56F258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满分10分</w:t>
            </w:r>
          </w:p>
        </w:tc>
        <w:tc>
          <w:tcPr>
            <w:tcW w:w="7042" w:type="dxa"/>
            <w:vAlign w:val="center"/>
          </w:tcPr>
          <w:p w14:paraId="7D1AE7A7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2022年至今，承担过鱼用药品供货相关业绩的得5分，每增加类似的1项业绩得1分，最多加5分；</w:t>
            </w:r>
          </w:p>
          <w:p w14:paraId="66F0599C">
            <w:pPr>
              <w:spacing w:line="520" w:lineRule="exact"/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highlight w:val="none"/>
                <w:lang w:val="en-US" w:eastAsia="zh-CN" w:bidi="ar-SA"/>
              </w:rPr>
              <w:t>注：此项业绩评审中1份业绩证明材料仅加1次分，不重复加分。证明材料指签订的服务合同复印件等，未提供证明材料视为无业绩。</w:t>
            </w:r>
          </w:p>
        </w:tc>
      </w:tr>
    </w:tbl>
    <w:p w14:paraId="58D739D4">
      <w:pPr>
        <w:spacing w:line="520" w:lineRule="exact"/>
        <w:ind w:firstLine="560" w:firstLineChars="200"/>
      </w:pPr>
      <w:bookmarkStart w:id="1" w:name="_Toc188469665"/>
      <w:r>
        <w:rPr>
          <w:rFonts w:hint="eastAsia" w:ascii="宋体" w:hAnsi="宋体" w:eastAsia="宋体" w:cs="宋体"/>
          <w:kern w:val="2"/>
          <w:sz w:val="28"/>
          <w:szCs w:val="28"/>
          <w:highlight w:val="none"/>
          <w:lang w:val="en-US" w:eastAsia="zh-CN" w:bidi="ar-SA"/>
        </w:rPr>
        <w:t>未尽事宜由评审委员会集体商议决定。</w:t>
      </w:r>
      <w:bookmarkEnd w:id="1"/>
    </w:p>
    <w:p w14:paraId="538DBF8C">
      <w:pPr>
        <w:pStyle w:val="4"/>
        <w:rPr>
          <w:rFonts w:hint="default"/>
          <w:lang w:val="en-US" w:eastAsia="zh-CN"/>
        </w:rPr>
      </w:pPr>
    </w:p>
    <w:p w14:paraId="3DA7F962">
      <w:pPr>
        <w:rPr>
          <w:rFonts w:hint="eastAsia"/>
          <w:lang w:eastAsia="zh-CN"/>
        </w:rPr>
      </w:pP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2062F"/>
    <w:rsid w:val="1362062F"/>
    <w:rsid w:val="355B5A45"/>
    <w:rsid w:val="64DE698B"/>
    <w:rsid w:val="65293E3A"/>
    <w:rsid w:val="69D53BAF"/>
    <w:rsid w:val="745E5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2025-11-03T01:06:00Z</dcterms:created>
  <dc:creator>莫语</dc:creator>
  <cp:lastModifiedBy>莫语</cp:lastModifiedBy>
  <cp:lastPrinted>2025-11-05T00:45:50Z</cp:lastPrinted>
  <dcterms:modified xsi:type="dcterms:W3CDTF">2025-11-05T06:14:42Z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0E90E887AACB407F87275CDD5806209A_13</vt:lpwstr>
  </property>
  <property fmtid="{D5CDD505-2E9C-101B-9397-08002B2CF9AE}" pid="4" name="KSOTemplateDocerSaveRecord">
    <vt:lpwstr>eyJoZGlkIjoiOWYzOGRiNDNiM2UxMzI1NzY2YjQ2MDA1ODRkNTQzY2YiLCJ1c2VySWQiOiIzNDA1ODU0MDcifQ==</vt:lpwstr>
  </property>
</Properties>
</file>