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A6CBF6">
      <w:pPr>
        <w:pStyle w:val="2"/>
        <w:keepNext/>
        <w:keepLines/>
        <w:pageBreakBefore w:val="0"/>
        <w:widowControl w:val="0"/>
        <w:kinsoku/>
        <w:wordWrap/>
        <w:overflowPunct/>
        <w:topLinePunct w:val="0"/>
        <w:autoSpaceDE/>
        <w:autoSpaceDN/>
        <w:bidi w:val="0"/>
        <w:adjustRightInd/>
        <w:snapToGrid/>
        <w:spacing w:before="0" w:after="0" w:line="560" w:lineRule="exact"/>
        <w:jc w:val="both"/>
        <w:textAlignment w:val="auto"/>
        <w:outlineLvl w:val="0"/>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附件</w:t>
      </w:r>
    </w:p>
    <w:p w14:paraId="362F2C95">
      <w:pPr>
        <w:pStyle w:val="2"/>
        <w:jc w:val="center"/>
        <w:rPr>
          <w:rFonts w:ascii="Times New Roman" w:hAnsi="Times New Roman"/>
        </w:rPr>
      </w:pPr>
      <w:r>
        <w:rPr>
          <w:rFonts w:ascii="Times New Roman" w:hAnsi="Times New Roman"/>
        </w:rPr>
        <w:t>评分办法</w:t>
      </w:r>
    </w:p>
    <w:tbl>
      <w:tblPr>
        <w:tblStyle w:val="6"/>
        <w:tblW w:w="928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3" w:type="dxa"/>
          <w:bottom w:w="0" w:type="dxa"/>
          <w:right w:w="23" w:type="dxa"/>
        </w:tblCellMar>
      </w:tblPr>
      <w:tblGrid>
        <w:gridCol w:w="1715"/>
        <w:gridCol w:w="1385"/>
        <w:gridCol w:w="6183"/>
      </w:tblGrid>
      <w:tr w14:paraId="6C0E76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1201" w:hRule="atLeast"/>
          <w:jc w:val="center"/>
        </w:trPr>
        <w:tc>
          <w:tcPr>
            <w:tcW w:w="1715" w:type="dxa"/>
            <w:vAlign w:val="center"/>
          </w:tcPr>
          <w:p w14:paraId="5A2D33EF">
            <w:pPr>
              <w:pStyle w:val="4"/>
              <w:spacing w:line="360" w:lineRule="exact"/>
              <w:jc w:val="center"/>
              <w:rPr>
                <w:rFonts w:ascii="Times New Roman" w:hAnsi="Times New Roman" w:eastAsia="仿宋" w:cs="Times New Roman"/>
                <w:b/>
                <w:szCs w:val="21"/>
              </w:rPr>
            </w:pPr>
            <w:r>
              <w:rPr>
                <w:rFonts w:ascii="Times New Roman" w:hAnsi="Times New Roman" w:eastAsia="仿宋" w:cs="Times New Roman"/>
                <w:b/>
                <w:bCs/>
                <w:kern w:val="0"/>
                <w:sz w:val="21"/>
                <w:szCs w:val="21"/>
              </w:rPr>
              <w:t>审查内容</w:t>
            </w:r>
          </w:p>
        </w:tc>
        <w:tc>
          <w:tcPr>
            <w:tcW w:w="1385" w:type="dxa"/>
            <w:vAlign w:val="center"/>
          </w:tcPr>
          <w:p w14:paraId="704A38CF">
            <w:pPr>
              <w:pStyle w:val="4"/>
              <w:spacing w:line="360" w:lineRule="exact"/>
              <w:jc w:val="center"/>
              <w:rPr>
                <w:rFonts w:ascii="Times New Roman" w:hAnsi="Times New Roman" w:eastAsia="仿宋" w:cs="Times New Roman"/>
                <w:b/>
                <w:szCs w:val="21"/>
              </w:rPr>
            </w:pPr>
            <w:r>
              <w:rPr>
                <w:rFonts w:ascii="Times New Roman" w:hAnsi="Times New Roman" w:eastAsia="仿宋" w:cs="Times New Roman"/>
                <w:b/>
                <w:bCs/>
                <w:kern w:val="0"/>
                <w:sz w:val="21"/>
                <w:szCs w:val="21"/>
              </w:rPr>
              <w:t>评审因素</w:t>
            </w:r>
          </w:p>
        </w:tc>
        <w:tc>
          <w:tcPr>
            <w:tcW w:w="6183" w:type="dxa"/>
            <w:vAlign w:val="center"/>
          </w:tcPr>
          <w:p w14:paraId="7C35B0B6">
            <w:pPr>
              <w:spacing w:line="360" w:lineRule="exact"/>
              <w:jc w:val="center"/>
              <w:rPr>
                <w:rFonts w:ascii="Times New Roman" w:hAnsi="Times New Roman" w:eastAsia="仿宋" w:cs="Times New Roman"/>
              </w:rPr>
            </w:pPr>
            <w:r>
              <w:rPr>
                <w:rFonts w:ascii="Times New Roman" w:hAnsi="Times New Roman" w:eastAsia="仿宋" w:cs="Times New Roman"/>
                <w:b/>
                <w:bCs/>
                <w:kern w:val="0"/>
                <w:szCs w:val="21"/>
              </w:rPr>
              <w:t>评分标准</w:t>
            </w:r>
          </w:p>
        </w:tc>
      </w:tr>
      <w:tr w14:paraId="45099F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1717" w:hRule="atLeast"/>
          <w:jc w:val="center"/>
        </w:trPr>
        <w:tc>
          <w:tcPr>
            <w:tcW w:w="1715" w:type="dxa"/>
            <w:vAlign w:val="center"/>
          </w:tcPr>
          <w:p w14:paraId="35FAD19E">
            <w:pPr>
              <w:spacing w:line="360" w:lineRule="exact"/>
              <w:jc w:val="center"/>
              <w:rPr>
                <w:rFonts w:ascii="Times New Roman" w:hAnsi="Times New Roman" w:eastAsia="仿宋" w:cs="Times New Roman"/>
                <w:szCs w:val="21"/>
              </w:rPr>
            </w:pPr>
            <w:r>
              <w:rPr>
                <w:rFonts w:ascii="Times New Roman" w:hAnsi="Times New Roman" w:eastAsia="仿宋" w:cs="Times New Roman"/>
                <w:b/>
                <w:bCs/>
                <w:spacing w:val="6"/>
                <w:sz w:val="22"/>
                <w:szCs w:val="22"/>
              </w:rPr>
              <w:t>磋商报价F1评审（满分10分）</w:t>
            </w:r>
          </w:p>
        </w:tc>
        <w:tc>
          <w:tcPr>
            <w:tcW w:w="1385" w:type="dxa"/>
            <w:vAlign w:val="center"/>
          </w:tcPr>
          <w:p w14:paraId="2FF1016A">
            <w:pPr>
              <w:spacing w:line="320" w:lineRule="exact"/>
              <w:jc w:val="center"/>
              <w:rPr>
                <w:rFonts w:ascii="Times New Roman" w:hAnsi="Times New Roman" w:eastAsia="仿宋" w:cs="Times New Roman"/>
                <w:sz w:val="22"/>
                <w:szCs w:val="22"/>
              </w:rPr>
            </w:pPr>
            <w:r>
              <w:rPr>
                <w:rFonts w:ascii="Times New Roman" w:hAnsi="Times New Roman" w:eastAsia="仿宋" w:cs="Times New Roman"/>
                <w:sz w:val="22"/>
                <w:szCs w:val="22"/>
              </w:rPr>
              <w:t>磋商报价</w:t>
            </w:r>
          </w:p>
          <w:p w14:paraId="4998B97C">
            <w:pPr>
              <w:spacing w:line="320" w:lineRule="exact"/>
              <w:jc w:val="center"/>
              <w:rPr>
                <w:rFonts w:ascii="Times New Roman" w:hAnsi="Times New Roman" w:eastAsia="仿宋" w:cs="Times New Roman"/>
                <w:szCs w:val="21"/>
              </w:rPr>
            </w:pPr>
            <w:r>
              <w:rPr>
                <w:rFonts w:ascii="Times New Roman" w:hAnsi="Times New Roman" w:eastAsia="仿宋" w:cs="Times New Roman"/>
                <w:sz w:val="22"/>
                <w:szCs w:val="22"/>
              </w:rPr>
              <w:t>（满分10分）</w:t>
            </w:r>
          </w:p>
        </w:tc>
        <w:tc>
          <w:tcPr>
            <w:tcW w:w="6183" w:type="dxa"/>
            <w:vAlign w:val="center"/>
          </w:tcPr>
          <w:p w14:paraId="5311BC7E">
            <w:pPr>
              <w:spacing w:line="320" w:lineRule="exact"/>
              <w:rPr>
                <w:rFonts w:ascii="Times New Roman" w:hAnsi="Times New Roman" w:eastAsia="仿宋" w:cs="Times New Roman"/>
                <w:szCs w:val="21"/>
              </w:rPr>
            </w:pPr>
            <w:r>
              <w:rPr>
                <w:rFonts w:ascii="Times New Roman" w:hAnsi="Times New Roman" w:eastAsia="仿宋" w:cs="Times New Roman"/>
                <w:sz w:val="22"/>
                <w:szCs w:val="22"/>
              </w:rPr>
              <w:t>满足竞争性磋商文件要求且最后报价最低的磋商报价为磋商基准价。其价格得分为满分。其他供应商的磋商报价得分＝（磋商基准价/该供应商的最后报价）×10。</w:t>
            </w:r>
          </w:p>
        </w:tc>
      </w:tr>
      <w:tr w14:paraId="6A1466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375" w:hRule="atLeast"/>
          <w:jc w:val="center"/>
        </w:trPr>
        <w:tc>
          <w:tcPr>
            <w:tcW w:w="1715" w:type="dxa"/>
            <w:vMerge w:val="restart"/>
            <w:vAlign w:val="center"/>
          </w:tcPr>
          <w:p w14:paraId="466D8F31">
            <w:pPr>
              <w:spacing w:line="360" w:lineRule="exact"/>
              <w:jc w:val="center"/>
              <w:rPr>
                <w:rFonts w:ascii="Times New Roman" w:hAnsi="Times New Roman" w:eastAsia="仿宋" w:cs="Times New Roman"/>
                <w:szCs w:val="21"/>
              </w:rPr>
            </w:pPr>
            <w:r>
              <w:rPr>
                <w:rFonts w:ascii="Times New Roman" w:hAnsi="Times New Roman" w:eastAsia="仿宋" w:cs="Times New Roman"/>
                <w:b/>
                <w:bCs/>
                <w:spacing w:val="6"/>
                <w:sz w:val="22"/>
                <w:szCs w:val="22"/>
              </w:rPr>
              <w:t>技术部分F2评审（满分44分）</w:t>
            </w:r>
          </w:p>
        </w:tc>
        <w:tc>
          <w:tcPr>
            <w:tcW w:w="1385" w:type="dxa"/>
            <w:vAlign w:val="center"/>
          </w:tcPr>
          <w:p w14:paraId="3E3C86FC">
            <w:pPr>
              <w:pStyle w:val="8"/>
              <w:spacing w:line="400" w:lineRule="exact"/>
              <w:textAlignment w:val="auto"/>
              <w:rPr>
                <w:rFonts w:ascii="Times New Roman" w:eastAsia="仿宋" w:cs="Times New Roman"/>
                <w:b w:val="0"/>
                <w:color w:val="auto"/>
                <w:sz w:val="21"/>
                <w:szCs w:val="21"/>
              </w:rPr>
            </w:pPr>
            <w:r>
              <w:rPr>
                <w:rFonts w:ascii="Times New Roman" w:eastAsia="仿宋" w:cs="Times New Roman"/>
                <w:b w:val="0"/>
                <w:color w:val="auto"/>
                <w:sz w:val="21"/>
                <w:szCs w:val="21"/>
              </w:rPr>
              <w:t>项目理解、需求分析、需求响应</w:t>
            </w:r>
          </w:p>
          <w:p w14:paraId="59414405">
            <w:pPr>
              <w:pStyle w:val="8"/>
              <w:spacing w:line="400" w:lineRule="exact"/>
              <w:textAlignment w:val="auto"/>
              <w:rPr>
                <w:rFonts w:ascii="Times New Roman" w:eastAsia="仿宋" w:cs="Times New Roman"/>
                <w:color w:val="auto"/>
                <w:szCs w:val="21"/>
              </w:rPr>
            </w:pPr>
            <w:r>
              <w:rPr>
                <w:rFonts w:ascii="Times New Roman" w:eastAsia="仿宋" w:cs="Times New Roman"/>
                <w:b w:val="0"/>
                <w:color w:val="auto"/>
                <w:sz w:val="21"/>
                <w:szCs w:val="21"/>
              </w:rPr>
              <w:t>（16分）</w:t>
            </w:r>
          </w:p>
        </w:tc>
        <w:tc>
          <w:tcPr>
            <w:tcW w:w="6183" w:type="dxa"/>
            <w:vAlign w:val="center"/>
          </w:tcPr>
          <w:p w14:paraId="3FC6DB6A">
            <w:pPr>
              <w:numPr>
                <w:ilvl w:val="0"/>
                <w:numId w:val="1"/>
              </w:numPr>
              <w:autoSpaceDE w:val="0"/>
              <w:autoSpaceDN w:val="0"/>
              <w:adjustRightInd w:val="0"/>
              <w:spacing w:line="400" w:lineRule="exact"/>
              <w:rPr>
                <w:rFonts w:ascii="Times New Roman" w:hAnsi="Times New Roman" w:eastAsia="仿宋" w:cs="Times New Roman"/>
                <w:szCs w:val="21"/>
              </w:rPr>
            </w:pPr>
            <w:r>
              <w:rPr>
                <w:rFonts w:ascii="Times New Roman" w:hAnsi="Times New Roman" w:eastAsia="仿宋" w:cs="Times New Roman"/>
                <w:szCs w:val="21"/>
              </w:rPr>
              <w:t>对项目背景、项目内容和目的理解透彻，能够很好把握重点、条理清楚、思路清晰，对实施过程中可能存在的问题及产生问题的原因分析全面科学合理，并提出有针对性的解决方案的，得16分；</w:t>
            </w:r>
          </w:p>
          <w:p w14:paraId="69A2E27D">
            <w:pPr>
              <w:numPr>
                <w:ilvl w:val="0"/>
                <w:numId w:val="1"/>
              </w:numPr>
              <w:autoSpaceDE w:val="0"/>
              <w:autoSpaceDN w:val="0"/>
              <w:adjustRightInd w:val="0"/>
              <w:spacing w:line="400" w:lineRule="exact"/>
              <w:rPr>
                <w:rFonts w:ascii="Times New Roman" w:hAnsi="Times New Roman" w:eastAsia="仿宋" w:cs="Times New Roman"/>
                <w:szCs w:val="21"/>
              </w:rPr>
            </w:pPr>
            <w:r>
              <w:rPr>
                <w:rFonts w:ascii="Times New Roman" w:hAnsi="Times New Roman" w:eastAsia="仿宋" w:cs="Times New Roman"/>
                <w:szCs w:val="21"/>
              </w:rPr>
              <w:t>对项目背景、项目内容和目的理解较全面，基本能够把握重点、条理清楚、思路清晰，对实施过程中可能存在的问题及产生问题的原因分析较为科学合理，并提出有针对性的解决方案得的，得12分；</w:t>
            </w:r>
          </w:p>
          <w:p w14:paraId="39AE38F7">
            <w:pPr>
              <w:numPr>
                <w:ilvl w:val="0"/>
                <w:numId w:val="1"/>
              </w:numPr>
              <w:autoSpaceDE w:val="0"/>
              <w:autoSpaceDN w:val="0"/>
              <w:adjustRightInd w:val="0"/>
              <w:spacing w:line="400" w:lineRule="exact"/>
              <w:rPr>
                <w:rFonts w:ascii="Times New Roman" w:hAnsi="Times New Roman" w:eastAsia="仿宋" w:cs="Times New Roman"/>
                <w:szCs w:val="21"/>
              </w:rPr>
            </w:pPr>
            <w:r>
              <w:rPr>
                <w:rFonts w:ascii="Times New Roman" w:hAnsi="Times New Roman" w:eastAsia="仿宋" w:cs="Times New Roman"/>
                <w:szCs w:val="21"/>
              </w:rPr>
              <w:t>对项目背景、项目目的、项目内容理解粗略，重点把握不到位，条理一般、思路一般，对实施过程中可能存在的问题及产生问题的原因分析合理性、科学性一般，提出的解决方案针对性一般的，得8分；</w:t>
            </w:r>
          </w:p>
          <w:p w14:paraId="1A65B29E">
            <w:pPr>
              <w:autoSpaceDE w:val="0"/>
              <w:autoSpaceDN w:val="0"/>
              <w:adjustRightInd w:val="0"/>
              <w:spacing w:line="400" w:lineRule="exact"/>
              <w:rPr>
                <w:rFonts w:ascii="Times New Roman" w:hAnsi="Times New Roman" w:eastAsia="仿宋" w:cs="Times New Roman"/>
                <w:szCs w:val="21"/>
              </w:rPr>
            </w:pPr>
            <w:r>
              <w:rPr>
                <w:rFonts w:ascii="Times New Roman" w:hAnsi="Times New Roman" w:eastAsia="仿宋" w:cs="Times New Roman"/>
                <w:szCs w:val="21"/>
              </w:rPr>
              <w:t>（4）对项目背景、项目目的、项目内容理解差，无重点把握，条理差、思路差，对实施过程中可能存在的问题及产生问题的原因分析不科学、不合理，提出的解决方案无针对性的，得4分；</w:t>
            </w:r>
          </w:p>
          <w:p w14:paraId="26646755">
            <w:pPr>
              <w:rPr>
                <w:rFonts w:ascii="Times New Roman" w:hAnsi="Times New Roman" w:eastAsia="仿宋" w:cs="Times New Roman"/>
                <w:szCs w:val="21"/>
              </w:rPr>
            </w:pPr>
            <w:r>
              <w:rPr>
                <w:rFonts w:ascii="Times New Roman" w:hAnsi="Times New Roman" w:eastAsia="仿宋" w:cs="Times New Roman"/>
              </w:rPr>
              <w:t>（5）无项目理解、需求分析、需求响应的得0分。</w:t>
            </w:r>
          </w:p>
        </w:tc>
      </w:tr>
      <w:tr w14:paraId="19B824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2672" w:hRule="atLeast"/>
          <w:jc w:val="center"/>
        </w:trPr>
        <w:tc>
          <w:tcPr>
            <w:tcW w:w="1715" w:type="dxa"/>
            <w:vMerge w:val="continue"/>
          </w:tcPr>
          <w:p w14:paraId="463441E3">
            <w:pPr>
              <w:spacing w:line="320" w:lineRule="exact"/>
              <w:jc w:val="center"/>
              <w:rPr>
                <w:rFonts w:ascii="Times New Roman" w:hAnsi="Times New Roman" w:eastAsia="仿宋" w:cs="Times New Roman"/>
                <w:szCs w:val="21"/>
              </w:rPr>
            </w:pPr>
          </w:p>
        </w:tc>
        <w:tc>
          <w:tcPr>
            <w:tcW w:w="1385" w:type="dxa"/>
            <w:vAlign w:val="center"/>
          </w:tcPr>
          <w:p w14:paraId="61554347">
            <w:pPr>
              <w:pStyle w:val="8"/>
              <w:spacing w:line="400" w:lineRule="exact"/>
              <w:textAlignment w:val="auto"/>
              <w:rPr>
                <w:rFonts w:ascii="Times New Roman" w:eastAsia="仿宋" w:cs="Times New Roman"/>
                <w:color w:val="auto"/>
                <w:szCs w:val="21"/>
              </w:rPr>
            </w:pPr>
            <w:r>
              <w:rPr>
                <w:rFonts w:ascii="Times New Roman" w:eastAsia="仿宋" w:cs="Times New Roman"/>
                <w:b w:val="0"/>
                <w:color w:val="auto"/>
                <w:sz w:val="21"/>
                <w:szCs w:val="21"/>
              </w:rPr>
              <w:t>检测服务方案（20分）</w:t>
            </w:r>
          </w:p>
        </w:tc>
        <w:tc>
          <w:tcPr>
            <w:tcW w:w="6183" w:type="dxa"/>
            <w:vAlign w:val="center"/>
          </w:tcPr>
          <w:p w14:paraId="6DA74ADC">
            <w:pPr>
              <w:rPr>
                <w:rFonts w:ascii="Times New Roman" w:hAnsi="Times New Roman" w:eastAsia="仿宋" w:cs="Times New Roman"/>
              </w:rPr>
            </w:pPr>
            <w:r>
              <w:rPr>
                <w:rFonts w:ascii="Times New Roman" w:hAnsi="Times New Roman" w:eastAsia="仿宋" w:cs="Times New Roman"/>
              </w:rPr>
              <w:t>（1）内容全面具体，思路清晰，条理清楚，可操作性强，合理性强，能很好满足项目需求的得20分；</w:t>
            </w:r>
          </w:p>
          <w:p w14:paraId="2EA3D7BA">
            <w:pPr>
              <w:rPr>
                <w:rFonts w:ascii="Times New Roman" w:hAnsi="Times New Roman" w:eastAsia="仿宋" w:cs="Times New Roman"/>
              </w:rPr>
            </w:pPr>
            <w:r>
              <w:rPr>
                <w:rFonts w:ascii="Times New Roman" w:hAnsi="Times New Roman" w:eastAsia="仿宋" w:cs="Times New Roman"/>
              </w:rPr>
              <w:t>（2）内容基本涵盖，思路清楚，有可操作性和合理性，能满足项目需求的得12分；</w:t>
            </w:r>
          </w:p>
          <w:p w14:paraId="33789622">
            <w:pPr>
              <w:rPr>
                <w:rFonts w:ascii="Times New Roman" w:hAnsi="Times New Roman" w:eastAsia="仿宋" w:cs="Times New Roman"/>
              </w:rPr>
            </w:pPr>
            <w:r>
              <w:rPr>
                <w:rFonts w:ascii="Times New Roman" w:hAnsi="Times New Roman" w:eastAsia="仿宋" w:cs="Times New Roman"/>
              </w:rPr>
              <w:t>（3）内容不全无重点，欠缺合理性与针对性，不能完全满足项目需求的得4分；</w:t>
            </w:r>
          </w:p>
          <w:p w14:paraId="0E025D6D">
            <w:pPr>
              <w:rPr>
                <w:rFonts w:ascii="Times New Roman" w:hAnsi="Times New Roman" w:eastAsia="仿宋" w:cs="Times New Roman"/>
                <w:b/>
                <w:bCs/>
              </w:rPr>
            </w:pPr>
            <w:r>
              <w:rPr>
                <w:rFonts w:ascii="Times New Roman" w:hAnsi="Times New Roman" w:eastAsia="仿宋" w:cs="Times New Roman"/>
              </w:rPr>
              <w:t>（4）无该项工作内容的得0分。</w:t>
            </w:r>
          </w:p>
        </w:tc>
      </w:tr>
      <w:tr w14:paraId="46042E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2672" w:hRule="atLeast"/>
          <w:jc w:val="center"/>
        </w:trPr>
        <w:tc>
          <w:tcPr>
            <w:tcW w:w="1715" w:type="dxa"/>
            <w:vMerge w:val="continue"/>
          </w:tcPr>
          <w:p w14:paraId="2C824460">
            <w:pPr>
              <w:spacing w:line="320" w:lineRule="exact"/>
              <w:jc w:val="center"/>
              <w:rPr>
                <w:rFonts w:ascii="Times New Roman" w:hAnsi="Times New Roman" w:eastAsia="仿宋" w:cs="Times New Roman"/>
                <w:szCs w:val="21"/>
              </w:rPr>
            </w:pPr>
          </w:p>
        </w:tc>
        <w:tc>
          <w:tcPr>
            <w:tcW w:w="1385" w:type="dxa"/>
            <w:vAlign w:val="center"/>
          </w:tcPr>
          <w:p w14:paraId="66ED04AC">
            <w:pPr>
              <w:pStyle w:val="8"/>
              <w:spacing w:line="400" w:lineRule="exact"/>
              <w:textAlignment w:val="auto"/>
              <w:rPr>
                <w:rFonts w:ascii="Times New Roman" w:eastAsia="仿宋" w:cs="Times New Roman"/>
                <w:b w:val="0"/>
                <w:color w:val="auto"/>
                <w:sz w:val="22"/>
                <w:szCs w:val="22"/>
              </w:rPr>
            </w:pPr>
            <w:r>
              <w:rPr>
                <w:rFonts w:ascii="Times New Roman" w:eastAsia="仿宋" w:cs="Times New Roman"/>
                <w:b w:val="0"/>
                <w:color w:val="auto"/>
                <w:sz w:val="22"/>
                <w:szCs w:val="22"/>
              </w:rPr>
              <w:t>服务计划安排及保障措施</w:t>
            </w:r>
          </w:p>
          <w:p w14:paraId="497AC8ED">
            <w:pPr>
              <w:pStyle w:val="8"/>
              <w:spacing w:line="400" w:lineRule="exact"/>
              <w:textAlignment w:val="auto"/>
              <w:rPr>
                <w:rFonts w:ascii="Times New Roman" w:eastAsia="仿宋" w:cs="Times New Roman"/>
                <w:color w:val="auto"/>
                <w:szCs w:val="21"/>
              </w:rPr>
            </w:pPr>
            <w:r>
              <w:rPr>
                <w:rFonts w:ascii="Times New Roman" w:eastAsia="仿宋" w:cs="Times New Roman"/>
                <w:b w:val="0"/>
                <w:color w:val="auto"/>
                <w:sz w:val="22"/>
                <w:szCs w:val="22"/>
              </w:rPr>
              <w:t>（8分）</w:t>
            </w:r>
          </w:p>
        </w:tc>
        <w:tc>
          <w:tcPr>
            <w:tcW w:w="6183" w:type="dxa"/>
            <w:vAlign w:val="center"/>
          </w:tcPr>
          <w:p w14:paraId="1CEF5C0E">
            <w:pPr>
              <w:rPr>
                <w:rFonts w:ascii="Times New Roman" w:hAnsi="Times New Roman" w:eastAsia="仿宋" w:cs="Times New Roman"/>
              </w:rPr>
            </w:pPr>
            <w:r>
              <w:rPr>
                <w:rFonts w:ascii="Times New Roman" w:hAnsi="Times New Roman" w:eastAsia="仿宋" w:cs="Times New Roman"/>
              </w:rPr>
              <w:t>（1）计划安排科学合理，工期优于采购要求，工期保证措施有力，有具体的违约承诺的得8分；</w:t>
            </w:r>
          </w:p>
          <w:p w14:paraId="7B225308">
            <w:pPr>
              <w:rPr>
                <w:rFonts w:ascii="Times New Roman" w:hAnsi="Times New Roman" w:eastAsia="仿宋" w:cs="Times New Roman"/>
              </w:rPr>
            </w:pPr>
            <w:r>
              <w:rPr>
                <w:rFonts w:ascii="Times New Roman" w:hAnsi="Times New Roman" w:eastAsia="仿宋" w:cs="Times New Roman"/>
              </w:rPr>
              <w:t>（2）计划安排较科学合理，工期满足采购要求，工期保证措施基本有力，有具体的违约承诺的得5分；</w:t>
            </w:r>
          </w:p>
          <w:p w14:paraId="438BB792">
            <w:pPr>
              <w:rPr>
                <w:rFonts w:ascii="Times New Roman" w:hAnsi="Times New Roman" w:eastAsia="仿宋" w:cs="Times New Roman"/>
              </w:rPr>
            </w:pPr>
            <w:r>
              <w:rPr>
                <w:rFonts w:ascii="Times New Roman" w:hAnsi="Times New Roman" w:eastAsia="仿宋" w:cs="Times New Roman"/>
              </w:rPr>
              <w:t>（3）计划安排基本科学合理，工期满足采购要求，工期保证措施力度欠佳，有粗略的违约承诺的得2分；</w:t>
            </w:r>
          </w:p>
          <w:p w14:paraId="538C98F3">
            <w:pPr>
              <w:rPr>
                <w:rFonts w:ascii="Times New Roman" w:hAnsi="Times New Roman" w:eastAsia="仿宋" w:cs="Times New Roman"/>
                <w:b/>
                <w:bCs/>
              </w:rPr>
            </w:pPr>
            <w:r>
              <w:rPr>
                <w:rFonts w:ascii="Times New Roman" w:hAnsi="Times New Roman" w:eastAsia="仿宋" w:cs="Times New Roman"/>
              </w:rPr>
              <w:t>（4）无计划安排或工期不满足采购文件要求或无工期保证措施或无具体的违约承诺的得0分。</w:t>
            </w:r>
          </w:p>
        </w:tc>
      </w:tr>
      <w:tr w14:paraId="08380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1746" w:hRule="atLeast"/>
          <w:jc w:val="center"/>
        </w:trPr>
        <w:tc>
          <w:tcPr>
            <w:tcW w:w="1715" w:type="dxa"/>
            <w:vMerge w:val="restart"/>
            <w:vAlign w:val="center"/>
          </w:tcPr>
          <w:p w14:paraId="3B4812E0">
            <w:pPr>
              <w:spacing w:line="360" w:lineRule="exact"/>
              <w:jc w:val="center"/>
              <w:rPr>
                <w:rFonts w:ascii="Times New Roman" w:hAnsi="Times New Roman" w:eastAsia="仿宋" w:cs="Times New Roman"/>
                <w:szCs w:val="21"/>
              </w:rPr>
            </w:pPr>
            <w:r>
              <w:rPr>
                <w:rFonts w:ascii="Times New Roman" w:hAnsi="Times New Roman" w:eastAsia="仿宋" w:cs="Times New Roman"/>
                <w:b/>
                <w:bCs/>
                <w:sz w:val="22"/>
                <w:szCs w:val="22"/>
              </w:rPr>
              <w:t>服务部分F3评审（满分46分）</w:t>
            </w:r>
          </w:p>
        </w:tc>
        <w:tc>
          <w:tcPr>
            <w:tcW w:w="1385" w:type="dxa"/>
            <w:vAlign w:val="center"/>
          </w:tcPr>
          <w:p w14:paraId="3845B6AB">
            <w:pPr>
              <w:autoSpaceDE w:val="0"/>
              <w:autoSpaceDN w:val="0"/>
              <w:snapToGrid w:val="0"/>
              <w:spacing w:line="300" w:lineRule="auto"/>
              <w:jc w:val="center"/>
              <w:rPr>
                <w:rFonts w:ascii="Times New Roman" w:hAnsi="Times New Roman" w:eastAsia="仿宋" w:cs="Times New Roman"/>
                <w:bCs/>
                <w:kern w:val="0"/>
                <w:sz w:val="22"/>
                <w:szCs w:val="22"/>
              </w:rPr>
            </w:pPr>
            <w:r>
              <w:rPr>
                <w:rFonts w:ascii="Times New Roman" w:hAnsi="Times New Roman" w:eastAsia="仿宋" w:cs="Times New Roman"/>
                <w:bCs/>
                <w:kern w:val="0"/>
                <w:sz w:val="22"/>
                <w:szCs w:val="22"/>
              </w:rPr>
              <w:t>投标人综合实力</w:t>
            </w:r>
          </w:p>
          <w:p w14:paraId="15C840A5">
            <w:pPr>
              <w:pStyle w:val="3"/>
              <w:ind w:firstLine="0" w:firstLineChars="0"/>
              <w:jc w:val="center"/>
              <w:rPr>
                <w:rFonts w:ascii="Times New Roman" w:hAnsi="Times New Roman" w:eastAsia="仿宋"/>
                <w:szCs w:val="21"/>
              </w:rPr>
            </w:pPr>
            <w:r>
              <w:rPr>
                <w:rFonts w:ascii="Times New Roman" w:hAnsi="Times New Roman" w:eastAsia="仿宋"/>
                <w:bCs/>
                <w:sz w:val="22"/>
                <w:szCs w:val="22"/>
              </w:rPr>
              <w:t>（10分）</w:t>
            </w:r>
          </w:p>
        </w:tc>
        <w:tc>
          <w:tcPr>
            <w:tcW w:w="6183" w:type="dxa"/>
            <w:vAlign w:val="center"/>
          </w:tcPr>
          <w:p w14:paraId="21479F12">
            <w:pPr>
              <w:rPr>
                <w:rFonts w:ascii="Times New Roman" w:hAnsi="Times New Roman" w:eastAsia="仿宋" w:cs="Times New Roman"/>
              </w:rPr>
            </w:pPr>
            <w:r>
              <w:rPr>
                <w:rFonts w:ascii="Times New Roman" w:hAnsi="Times New Roman" w:eastAsia="仿宋" w:cs="Times New Roman"/>
              </w:rPr>
              <w:t>拥有耕地培育和相关土壤指标检测能力的省级及以上的重点实验室的得10分。</w:t>
            </w:r>
          </w:p>
        </w:tc>
      </w:tr>
      <w:tr w14:paraId="67EAD5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557" w:hRule="atLeast"/>
          <w:jc w:val="center"/>
        </w:trPr>
        <w:tc>
          <w:tcPr>
            <w:tcW w:w="1715" w:type="dxa"/>
            <w:vMerge w:val="continue"/>
            <w:vAlign w:val="center"/>
          </w:tcPr>
          <w:p w14:paraId="1A78DDF6">
            <w:pPr>
              <w:spacing w:line="360" w:lineRule="exact"/>
              <w:jc w:val="center"/>
              <w:rPr>
                <w:rFonts w:ascii="Times New Roman" w:hAnsi="Times New Roman" w:eastAsia="仿宋" w:cs="Times New Roman"/>
                <w:szCs w:val="21"/>
              </w:rPr>
            </w:pPr>
          </w:p>
        </w:tc>
        <w:tc>
          <w:tcPr>
            <w:tcW w:w="1385" w:type="dxa"/>
            <w:vAlign w:val="center"/>
          </w:tcPr>
          <w:p w14:paraId="0F3B0A81">
            <w:pPr>
              <w:autoSpaceDE w:val="0"/>
              <w:autoSpaceDN w:val="0"/>
              <w:snapToGrid w:val="0"/>
              <w:spacing w:line="300" w:lineRule="auto"/>
              <w:jc w:val="center"/>
              <w:rPr>
                <w:rFonts w:ascii="Times New Roman" w:hAnsi="Times New Roman" w:eastAsia="仿宋" w:cs="Times New Roman"/>
                <w:bCs/>
                <w:kern w:val="0"/>
                <w:sz w:val="22"/>
                <w:szCs w:val="22"/>
              </w:rPr>
            </w:pPr>
            <w:r>
              <w:rPr>
                <w:rFonts w:ascii="Times New Roman" w:hAnsi="Times New Roman" w:eastAsia="仿宋" w:cs="Times New Roman"/>
                <w:bCs/>
                <w:kern w:val="0"/>
                <w:sz w:val="22"/>
                <w:szCs w:val="22"/>
              </w:rPr>
              <w:t>项目实施人员</w:t>
            </w:r>
          </w:p>
          <w:p w14:paraId="2EA19C4C">
            <w:pPr>
              <w:autoSpaceDE w:val="0"/>
              <w:autoSpaceDN w:val="0"/>
              <w:snapToGrid w:val="0"/>
              <w:spacing w:line="300" w:lineRule="auto"/>
              <w:jc w:val="center"/>
              <w:rPr>
                <w:rFonts w:ascii="Times New Roman" w:hAnsi="Times New Roman" w:eastAsia="仿宋" w:cs="Times New Roman"/>
                <w:kern w:val="0"/>
                <w:szCs w:val="21"/>
              </w:rPr>
            </w:pPr>
            <w:r>
              <w:rPr>
                <w:rFonts w:ascii="Times New Roman" w:hAnsi="Times New Roman" w:eastAsia="仿宋" w:cs="Times New Roman"/>
                <w:bCs/>
                <w:kern w:val="0"/>
                <w:sz w:val="22"/>
                <w:szCs w:val="22"/>
              </w:rPr>
              <w:t>（30分）</w:t>
            </w:r>
          </w:p>
        </w:tc>
        <w:tc>
          <w:tcPr>
            <w:tcW w:w="6183" w:type="dxa"/>
            <w:vAlign w:val="center"/>
          </w:tcPr>
          <w:p w14:paraId="72711266">
            <w:pPr>
              <w:widowControl/>
              <w:snapToGrid w:val="0"/>
              <w:spacing w:line="300" w:lineRule="auto"/>
              <w:jc w:val="left"/>
              <w:textAlignment w:val="center"/>
              <w:rPr>
                <w:rFonts w:ascii="Times New Roman" w:hAnsi="Times New Roman" w:eastAsia="仿宋" w:cs="Times New Roman"/>
                <w:kern w:val="0"/>
                <w:szCs w:val="21"/>
              </w:rPr>
            </w:pPr>
            <w:r>
              <w:rPr>
                <w:rFonts w:ascii="Times New Roman" w:hAnsi="Times New Roman" w:eastAsia="仿宋" w:cs="Times New Roman"/>
                <w:kern w:val="0"/>
                <w:szCs w:val="21"/>
              </w:rPr>
              <w:t>1. 项目总负责人（满分15分）</w:t>
            </w:r>
          </w:p>
          <w:p w14:paraId="420204EE">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①</w:t>
            </w:r>
            <w:r>
              <w:rPr>
                <w:rFonts w:ascii="Times New Roman" w:hAnsi="Times New Roman" w:eastAsia="仿宋" w:cs="Times New Roman"/>
                <w:kern w:val="0"/>
                <w:szCs w:val="21"/>
              </w:rPr>
              <w:t>具有正高级职称，学科方向须为土壤学、土壤农化、农业资源与环境、植物病理学、植物营养学、资源环境科学、植物营养与病害控制等其中之一的得5分。</w:t>
            </w:r>
          </w:p>
          <w:p w14:paraId="6C18E153">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②</w:t>
            </w:r>
            <w:r>
              <w:rPr>
                <w:rFonts w:ascii="Times New Roman" w:hAnsi="Times New Roman" w:eastAsia="仿宋" w:cs="Times New Roman"/>
                <w:kern w:val="0"/>
                <w:szCs w:val="21"/>
              </w:rPr>
              <w:t>国家第三次全国土壤普查省级专家技术指导组成员的得5分</w:t>
            </w:r>
          </w:p>
          <w:p w14:paraId="2832BC3F">
            <w:pPr>
              <w:widowControl/>
              <w:snapToGrid w:val="0"/>
              <w:spacing w:line="300" w:lineRule="auto"/>
              <w:jc w:val="left"/>
              <w:textAlignment w:val="center"/>
              <w:rPr>
                <w:rFonts w:ascii="Times New Roman" w:hAnsi="Times New Roman" w:eastAsia="仿宋" w:cs="Times New Roman"/>
                <w:b/>
                <w:bCs/>
                <w:kern w:val="0"/>
                <w:szCs w:val="21"/>
              </w:rPr>
            </w:pPr>
            <w:r>
              <w:rPr>
                <w:rFonts w:ascii="Times New Roman" w:hAnsi="Times New Roman" w:eastAsia="仿宋" w:cs="Times New Roman"/>
                <w:b/>
                <w:bCs/>
                <w:kern w:val="0"/>
                <w:szCs w:val="21"/>
              </w:rPr>
              <w:t>注：以公示名单中包含可查询证书编号为准；</w:t>
            </w:r>
          </w:p>
          <w:p w14:paraId="680D2FB1">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③</w:t>
            </w:r>
            <w:r>
              <w:rPr>
                <w:rFonts w:ascii="Times New Roman" w:hAnsi="Times New Roman" w:eastAsia="仿宋" w:cs="Times New Roman"/>
                <w:kern w:val="0"/>
                <w:szCs w:val="21"/>
              </w:rPr>
              <w:t>主持过地市级及以上土壤普查成果编制或成果汇交类项目≥1项得5分；</w:t>
            </w:r>
          </w:p>
          <w:p w14:paraId="2A56575F">
            <w:pPr>
              <w:spacing w:line="360" w:lineRule="auto"/>
              <w:rPr>
                <w:rFonts w:ascii="Times New Roman" w:hAnsi="Times New Roman" w:eastAsia="仿宋" w:cs="Times New Roman"/>
                <w:kern w:val="0"/>
                <w:szCs w:val="21"/>
              </w:rPr>
            </w:pPr>
            <w:r>
              <w:rPr>
                <w:rFonts w:ascii="Times New Roman" w:hAnsi="Times New Roman" w:eastAsia="仿宋" w:cs="Times New Roman"/>
                <w:kern w:val="0"/>
                <w:szCs w:val="21"/>
              </w:rPr>
              <w:t>2.团队配置（满分15分）</w:t>
            </w:r>
          </w:p>
          <w:p w14:paraId="09363038">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①</w:t>
            </w:r>
            <w:r>
              <w:rPr>
                <w:rFonts w:ascii="Times New Roman" w:hAnsi="Times New Roman" w:eastAsia="仿宋" w:cs="Times New Roman"/>
                <w:kern w:val="0"/>
                <w:szCs w:val="21"/>
              </w:rPr>
              <w:t>具有博士学历≥2人的得5分；（含项目负责人）</w:t>
            </w:r>
          </w:p>
          <w:p w14:paraId="3E0A22A7">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②</w:t>
            </w:r>
            <w:r>
              <w:rPr>
                <w:rFonts w:ascii="Times New Roman" w:hAnsi="Times New Roman" w:eastAsia="仿宋" w:cs="Times New Roman"/>
                <w:kern w:val="0"/>
                <w:szCs w:val="21"/>
              </w:rPr>
              <w:t>其余成员须全部具备本科及以上学历，且所学专业须与土壤学、农业资源与环境、植物病理学、植物营养学、资源利用与植物保护等方向一致或高度相关的人员≥4人的得5分；</w:t>
            </w:r>
          </w:p>
          <w:p w14:paraId="6A1A736F">
            <w:pPr>
              <w:widowControl/>
              <w:snapToGrid w:val="0"/>
              <w:spacing w:line="300" w:lineRule="auto"/>
              <w:jc w:val="left"/>
              <w:textAlignment w:val="center"/>
              <w:rPr>
                <w:rFonts w:ascii="Times New Roman" w:hAnsi="Times New Roman" w:eastAsia="仿宋" w:cs="Times New Roman"/>
                <w:kern w:val="0"/>
                <w:szCs w:val="21"/>
              </w:rPr>
            </w:pPr>
            <w:r>
              <w:rPr>
                <w:rFonts w:hint="eastAsia" w:ascii="宋体" w:hAnsi="宋体" w:eastAsia="宋体" w:cs="宋体"/>
                <w:kern w:val="0"/>
                <w:szCs w:val="21"/>
              </w:rPr>
              <w:t>③</w:t>
            </w:r>
            <w:r>
              <w:rPr>
                <w:rFonts w:ascii="Times New Roman" w:hAnsi="Times New Roman" w:eastAsia="仿宋" w:cs="Times New Roman"/>
                <w:kern w:val="0"/>
                <w:szCs w:val="21"/>
              </w:rPr>
              <w:t>至少1人参加过第三次全国土壤普查外业调查、样品制备、数据审核或成果编制，并出具相关技术服务合同证明的得5分。</w:t>
            </w:r>
          </w:p>
        </w:tc>
      </w:tr>
      <w:tr w14:paraId="2C1B14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3" w:type="dxa"/>
            <w:bottom w:w="0" w:type="dxa"/>
            <w:right w:w="23" w:type="dxa"/>
          </w:tblCellMar>
        </w:tblPrEx>
        <w:trPr>
          <w:trHeight w:val="557" w:hRule="atLeast"/>
          <w:jc w:val="center"/>
        </w:trPr>
        <w:tc>
          <w:tcPr>
            <w:tcW w:w="1715" w:type="dxa"/>
            <w:vMerge w:val="continue"/>
            <w:vAlign w:val="center"/>
          </w:tcPr>
          <w:p w14:paraId="332413B7">
            <w:pPr>
              <w:spacing w:line="360" w:lineRule="exact"/>
              <w:jc w:val="center"/>
              <w:rPr>
                <w:rFonts w:ascii="Times New Roman" w:hAnsi="Times New Roman" w:eastAsia="仿宋" w:cs="Times New Roman"/>
                <w:szCs w:val="21"/>
              </w:rPr>
            </w:pPr>
          </w:p>
        </w:tc>
        <w:tc>
          <w:tcPr>
            <w:tcW w:w="1385" w:type="dxa"/>
            <w:vAlign w:val="center"/>
          </w:tcPr>
          <w:p w14:paraId="2DD2AD16">
            <w:pPr>
              <w:tabs>
                <w:tab w:val="left" w:pos="2679"/>
              </w:tabs>
              <w:spacing w:line="360" w:lineRule="exact"/>
              <w:rPr>
                <w:rFonts w:ascii="Times New Roman" w:hAnsi="Times New Roman" w:eastAsia="仿宋" w:cs="Times New Roman"/>
                <w:szCs w:val="21"/>
              </w:rPr>
            </w:pPr>
            <w:r>
              <w:rPr>
                <w:rFonts w:ascii="Times New Roman" w:hAnsi="Times New Roman" w:eastAsia="仿宋" w:cs="Times New Roman"/>
                <w:sz w:val="22"/>
                <w:szCs w:val="22"/>
              </w:rPr>
              <w:t>类似业绩（6分）</w:t>
            </w:r>
          </w:p>
        </w:tc>
        <w:tc>
          <w:tcPr>
            <w:tcW w:w="6183" w:type="dxa"/>
            <w:vAlign w:val="center"/>
          </w:tcPr>
          <w:p w14:paraId="72412940">
            <w:pPr>
              <w:tabs>
                <w:tab w:val="left" w:pos="2679"/>
              </w:tabs>
              <w:spacing w:line="360" w:lineRule="exact"/>
              <w:rPr>
                <w:rFonts w:ascii="Times New Roman" w:hAnsi="Times New Roman" w:eastAsia="仿宋" w:cs="Times New Roman"/>
                <w:sz w:val="22"/>
                <w:szCs w:val="22"/>
              </w:rPr>
            </w:pPr>
            <w:r>
              <w:rPr>
                <w:rFonts w:ascii="Times New Roman" w:hAnsi="Times New Roman" w:eastAsia="仿宋" w:cs="Times New Roman"/>
                <w:sz w:val="22"/>
                <w:szCs w:val="22"/>
              </w:rPr>
              <w:t>供应商2022年1月1日至今每承担过类似业绩的得2分，满分6分。</w:t>
            </w:r>
          </w:p>
          <w:p w14:paraId="75BD4604">
            <w:pPr>
              <w:tabs>
                <w:tab w:val="left" w:pos="2679"/>
              </w:tabs>
              <w:spacing w:line="360" w:lineRule="exact"/>
              <w:rPr>
                <w:rFonts w:ascii="Times New Roman" w:hAnsi="Times New Roman" w:eastAsia="仿宋" w:cs="Times New Roman"/>
                <w:szCs w:val="21"/>
              </w:rPr>
            </w:pPr>
            <w:r>
              <w:rPr>
                <w:rFonts w:ascii="Times New Roman" w:hAnsi="Times New Roman" w:eastAsia="仿宋" w:cs="Times New Roman"/>
                <w:sz w:val="22"/>
                <w:szCs w:val="22"/>
              </w:rPr>
              <w:t>注:提供供应商2022年1月1日至今（指合同签订日期）承担过的类似业绩项目的中标（成交）通知书或合同的扫描件。所提供的业绩证明不能指向供应商的视为无效；没有实际成果的资格入围协议无效。</w:t>
            </w:r>
          </w:p>
        </w:tc>
      </w:tr>
    </w:tbl>
    <w:p w14:paraId="76CBBA1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4D7134"/>
    <w:multiLevelType w:val="singleLevel"/>
    <w:tmpl w:val="124D713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77655"/>
    <w:rsid w:val="35D776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ascii="Calibri" w:hAnsi="Calibri" w:eastAsia="宋体" w:cs="Times New Roman"/>
      <w:b/>
      <w:kern w:val="44"/>
      <w:sz w:val="44"/>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200" w:firstLineChars="200"/>
      <w:jc w:val="left"/>
      <w:textAlignment w:val="baseline"/>
    </w:pPr>
    <w:rPr>
      <w:rFonts w:ascii="Calibri" w:hAnsi="Calibri" w:eastAsia="宋体" w:cs="Times New Roman"/>
      <w:kern w:val="0"/>
      <w:sz w:val="24"/>
    </w:rPr>
  </w:style>
  <w:style w:type="paragraph" w:styleId="4">
    <w:name w:val="Body Text Indent"/>
    <w:basedOn w:val="1"/>
    <w:qFormat/>
    <w:uiPriority w:val="0"/>
    <w:pPr>
      <w:jc w:val="left"/>
    </w:pPr>
    <w:rPr>
      <w:rFonts w:ascii="仿宋_GB2312" w:hAnsi="Calibri" w:eastAsia="仿宋_GB2312" w:cs="仿宋_GB2312"/>
      <w:sz w:val="28"/>
      <w:szCs w:val="28"/>
    </w:rPr>
  </w:style>
  <w:style w:type="paragraph" w:styleId="5">
    <w:name w:val="Title"/>
    <w:basedOn w:val="1"/>
    <w:next w:val="1"/>
    <w:qFormat/>
    <w:uiPriority w:val="0"/>
    <w:pPr>
      <w:spacing w:before="240" w:after="60"/>
      <w:jc w:val="center"/>
      <w:outlineLvl w:val="0"/>
    </w:pPr>
    <w:rPr>
      <w:rFonts w:eastAsia="宋体" w:asciiTheme="majorHAnsi" w:hAnsiTheme="majorHAnsi" w:cstheme="majorBidi"/>
      <w:b/>
      <w:bCs/>
      <w:sz w:val="32"/>
      <w:szCs w:val="32"/>
    </w:rPr>
  </w:style>
  <w:style w:type="paragraph" w:customStyle="1" w:styleId="8">
    <w:name w:val="Default"/>
    <w:basedOn w:val="5"/>
    <w:qFormat/>
    <w:uiPriority w:val="0"/>
    <w:pPr>
      <w:autoSpaceDE w:val="0"/>
      <w:autoSpaceDN w:val="0"/>
      <w:adjustRightInd w:val="0"/>
      <w:spacing w:line="360" w:lineRule="atLeast"/>
      <w:textAlignment w:val="baseline"/>
    </w:pPr>
    <w:rPr>
      <w:rFonts w:ascii="宋体" w:hAnsi="Times New Roman"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2025-11-17T03:09:00Z</dcterms:created>
  <dc:creator>莫语</dc:creator>
  <cp:lastModifiedBy>莫语</cp:lastModifiedBy>
  <dcterms:modified xsi:type="dcterms:W3CDTF">2025-11-17T03:09:53Z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06BEA21538E24CDF996D5A1EE66CF371_11</vt:lpwstr>
  </property>
  <property fmtid="{D5CDD505-2E9C-101B-9397-08002B2CF9AE}" pid="4" name="KSOTemplateDocerSaveRecord">
    <vt:lpwstr>eyJoZGlkIjoiOWYzOGRiNDNiM2UxMzI1NzY2YjQ2MDA1ODRkNTQzY2YiLCJ1c2VySWQiOiIzNDA1ODU0MDcifQ==</vt:lpwstr>
  </property>
</Properties>
</file>