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D6B1D">
      <w:pPr>
        <w:keepNext w:val="0"/>
        <w:keepLines w:val="0"/>
        <w:pageBreakBefore w:val="0"/>
        <w:widowControl w:val="0"/>
        <w:kinsoku/>
        <w:wordWrap/>
        <w:overflowPunct/>
        <w:topLinePunct w:val="0"/>
        <w:autoSpaceDE/>
        <w:autoSpaceDN/>
        <w:bidi w:val="0"/>
        <w:adjustRightInd/>
        <w:snapToGrid/>
        <w:spacing w:line="600" w:lineRule="exact"/>
        <w:ind w:right="0"/>
        <w:textAlignment w:val="auto"/>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附件1</w:t>
      </w:r>
    </w:p>
    <w:p w14:paraId="1528D2B9">
      <w:pPr>
        <w:keepNext w:val="0"/>
        <w:keepLines w:val="0"/>
        <w:pageBreakBefore w:val="0"/>
        <w:widowControl w:val="0"/>
        <w:kinsoku/>
        <w:wordWrap/>
        <w:overflowPunct/>
        <w:topLinePunct w:val="0"/>
        <w:autoSpaceDE/>
        <w:autoSpaceDN/>
        <w:bidi w:val="0"/>
        <w:adjustRightInd/>
        <w:snapToGrid/>
        <w:spacing w:line="600" w:lineRule="exact"/>
        <w:ind w:right="0" w:firstLine="880" w:firstLineChars="200"/>
        <w:jc w:val="both"/>
        <w:textAlignment w:val="auto"/>
        <w:outlineLvl w:val="9"/>
        <w:rPr>
          <w:rFonts w:hint="default" w:ascii="Times New Roman" w:hAnsi="Times New Roman" w:eastAsia="Arial Unicode MS" w:cs="Times New Roman"/>
          <w:b w:val="0"/>
          <w:bCs w:val="0"/>
          <w:color w:val="000000" w:themeColor="text1"/>
          <w:sz w:val="44"/>
          <w:szCs w:val="44"/>
          <w:lang w:val="en-US" w:eastAsia="zh-CN"/>
          <w14:textFill>
            <w14:solidFill>
              <w14:schemeClr w14:val="tx1"/>
            </w14:solidFill>
          </w14:textFill>
        </w:rPr>
      </w:pPr>
    </w:p>
    <w:p w14:paraId="1F9648AA">
      <w:pPr>
        <w:keepNext w:val="0"/>
        <w:keepLines w:val="0"/>
        <w:pageBreakBefore w:val="0"/>
        <w:widowControl w:val="0"/>
        <w:kinsoku/>
        <w:wordWrap/>
        <w:overflowPunct/>
        <w:topLinePunct w:val="0"/>
        <w:autoSpaceDE/>
        <w:autoSpaceDN/>
        <w:bidi w:val="0"/>
        <w:adjustRightInd/>
        <w:snapToGrid/>
        <w:spacing w:line="720" w:lineRule="exact"/>
        <w:ind w:right="0"/>
        <w:jc w:val="center"/>
        <w:textAlignment w:val="auto"/>
        <w:outlineLvl w:val="9"/>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云南省2025年绿色种养循环农业试点</w:t>
      </w:r>
    </w:p>
    <w:p w14:paraId="7B77FBE3">
      <w:pPr>
        <w:keepNext w:val="0"/>
        <w:keepLines w:val="0"/>
        <w:pageBreakBefore w:val="0"/>
        <w:widowControl w:val="0"/>
        <w:kinsoku/>
        <w:wordWrap/>
        <w:overflowPunct/>
        <w:topLinePunct w:val="0"/>
        <w:autoSpaceDE/>
        <w:autoSpaceDN/>
        <w:bidi w:val="0"/>
        <w:adjustRightInd/>
        <w:snapToGrid/>
        <w:spacing w:line="720" w:lineRule="exact"/>
        <w:ind w:right="0"/>
        <w:jc w:val="center"/>
        <w:textAlignment w:val="auto"/>
        <w:outlineLvl w:val="9"/>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项目实施方案</w:t>
      </w:r>
    </w:p>
    <w:p w14:paraId="591FFD22">
      <w:pPr>
        <w:keepNext w:val="0"/>
        <w:keepLines w:val="0"/>
        <w:pageBreakBefore w:val="0"/>
        <w:widowControl w:val="0"/>
        <w:kinsoku/>
        <w:wordWrap/>
        <w:overflowPunct/>
        <w:topLinePunct w:val="0"/>
        <w:autoSpaceDE/>
        <w:autoSpaceDN/>
        <w:bidi w:val="0"/>
        <w:adjustRightInd/>
        <w:snapToGrid/>
        <w:spacing w:line="620" w:lineRule="exact"/>
        <w:ind w:left="0" w:right="0" w:firstLine="640" w:firstLineChars="200"/>
        <w:textAlignment w:val="auto"/>
        <w:outlineLvl w:val="9"/>
        <w:rPr>
          <w:rFonts w:hint="default" w:ascii="Times New Roman" w:hAnsi="Times New Roman" w:eastAsia="方正仿宋_GBK" w:cs="Times New Roman"/>
          <w:color w:val="000000" w:themeColor="text1"/>
          <w:spacing w:val="0"/>
          <w:sz w:val="32"/>
          <w:szCs w:val="32"/>
          <w14:textFill>
            <w14:solidFill>
              <w14:schemeClr w14:val="tx1"/>
            </w14:solidFill>
          </w14:textFill>
        </w:rPr>
      </w:pPr>
    </w:p>
    <w:p w14:paraId="4BC4BA92">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推进种养结合促进中循环</w:t>
      </w:r>
      <w:r>
        <w:rPr>
          <w:rFonts w:hint="default" w:ascii="Times New Roman" w:hAnsi="Times New Roman" w:eastAsia="方正仿宋_GBK" w:cs="Times New Roman"/>
          <w:color w:val="000000" w:themeColor="text1"/>
          <w:sz w:val="32"/>
          <w:szCs w:val="32"/>
          <w14:textFill>
            <w14:solidFill>
              <w14:schemeClr w14:val="tx1"/>
            </w14:solidFill>
          </w14:textFill>
        </w:rPr>
        <w:t>，促进畜禽粪污资源化利用和农业生态低碳发展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切实推进</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全省</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w:t>
      </w:r>
      <w:r>
        <w:rPr>
          <w:rFonts w:hint="default" w:ascii="Times New Roman" w:hAnsi="Times New Roman" w:eastAsia="方正仿宋_GBK" w:cs="Times New Roman"/>
          <w:color w:val="000000" w:themeColor="text1"/>
          <w:sz w:val="32"/>
          <w:szCs w:val="32"/>
          <w14:textFill>
            <w14:solidFill>
              <w14:schemeClr w14:val="tx1"/>
            </w14:solidFill>
          </w14:textFill>
        </w:rPr>
        <w:t>绿色种养循环农业试点工作，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确保</w:t>
      </w:r>
      <w:r>
        <w:rPr>
          <w:rFonts w:hint="default" w:ascii="Times New Roman" w:hAnsi="Times New Roman" w:eastAsia="方正仿宋_GBK" w:cs="Times New Roman"/>
          <w:color w:val="000000" w:themeColor="text1"/>
          <w:sz w:val="32"/>
          <w:szCs w:val="32"/>
          <w14:textFill>
            <w14:solidFill>
              <w14:schemeClr w14:val="tx1"/>
            </w14:solidFill>
          </w14:textFill>
        </w:rPr>
        <w:t>试点工作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如期完成，并取得明显</w:t>
      </w:r>
      <w:r>
        <w:rPr>
          <w:rFonts w:hint="default" w:ascii="Times New Roman" w:hAnsi="Times New Roman" w:eastAsia="方正仿宋_GBK" w:cs="Times New Roman"/>
          <w:color w:val="000000" w:themeColor="text1"/>
          <w:sz w:val="32"/>
          <w:szCs w:val="32"/>
          <w14:textFill>
            <w14:solidFill>
              <w14:schemeClr w14:val="tx1"/>
            </w14:solidFill>
          </w14:textFill>
        </w:rPr>
        <w:t>成效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制定本方案。</w:t>
      </w:r>
    </w:p>
    <w:p w14:paraId="326ED424">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一、任务目标</w:t>
      </w:r>
    </w:p>
    <w:p w14:paraId="5A5B7122">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eastAsia="zh-CN"/>
          <w14:textFill>
            <w14:solidFill>
              <w14:schemeClr w14:val="tx1"/>
            </w14:solidFill>
          </w14:textFill>
        </w:rPr>
        <w:t>总体目标：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寻甸、镇雄、沾益、宣威、开远、蒙自、弥勒、禄丰、弥渡和永胜</w:t>
      </w:r>
      <w:r>
        <w:rPr>
          <w:rFonts w:hint="default" w:ascii="Times New Roman" w:hAnsi="Times New Roman" w:eastAsia="方正仿宋_GBK" w:cs="Times New Roman"/>
          <w:color w:val="000000" w:themeColor="text1"/>
          <w:sz w:val="32"/>
          <w:szCs w:val="32"/>
          <w14:textFill>
            <w14:solidFill>
              <w14:schemeClr w14:val="tx1"/>
            </w14:solidFill>
          </w14:textFill>
        </w:rPr>
        <w:t>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个县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（市、</w:t>
      </w:r>
      <w:r>
        <w:rPr>
          <w:rFonts w:hint="default" w:ascii="Times New Roman" w:hAnsi="Times New Roman" w:eastAsia="方正仿宋_GBK" w:cs="Times New Roman"/>
          <w:color w:val="000000" w:themeColor="text1"/>
          <w:sz w:val="32"/>
          <w:szCs w:val="32"/>
          <w14:textFill>
            <w14:solidFill>
              <w14:schemeClr w14:val="tx1"/>
            </w14:solidFill>
          </w14:textFill>
        </w:rPr>
        <w:t>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持续推进绿色种养循环农业试点</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坚持</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花钱买机制</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原则，总结推广试点成功经验、典型做法、成熟模式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，培育壮大</w:t>
      </w:r>
      <w:r>
        <w:rPr>
          <w:rFonts w:hint="default" w:ascii="Times New Roman" w:hAnsi="Times New Roman" w:eastAsia="方正仿宋_GBK" w:cs="Times New Roman"/>
          <w:color w:val="000000" w:themeColor="text1"/>
          <w:sz w:val="32"/>
          <w:szCs w:val="32"/>
          <w14:textFill>
            <w14:solidFill>
              <w14:schemeClr w14:val="tx1"/>
            </w14:solidFill>
          </w14:textFill>
        </w:rPr>
        <w:t>实打实推进构建市场运作为主、政府引导为辅、社会资本参与的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有机肥</w:t>
      </w:r>
      <w:r>
        <w:rPr>
          <w:rFonts w:hint="default" w:ascii="Times New Roman" w:hAnsi="Times New Roman" w:eastAsia="方正仿宋_GBK" w:cs="Times New Roman"/>
          <w:color w:val="000000" w:themeColor="text1"/>
          <w:sz w:val="32"/>
          <w:szCs w:val="32"/>
          <w14:textFill>
            <w14:solidFill>
              <w14:schemeClr w14:val="tx1"/>
            </w14:solidFill>
          </w14:textFill>
        </w:rPr>
        <w:t>还田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提升土壤有机质的</w:t>
      </w:r>
      <w:r>
        <w:rPr>
          <w:rFonts w:hint="default" w:ascii="Times New Roman" w:hAnsi="Times New Roman" w:eastAsia="方正仿宋_GBK" w:cs="Times New Roman"/>
          <w:color w:val="000000" w:themeColor="text1"/>
          <w:sz w:val="32"/>
          <w:szCs w:val="32"/>
          <w14:textFill>
            <w14:solidFill>
              <w14:schemeClr w14:val="tx1"/>
            </w14:solidFill>
          </w14:textFill>
        </w:rPr>
        <w:t>长效机制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助力全方位夯实粮食安全根基</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巩固提高种植业绿色高质量发展水平。</w:t>
      </w:r>
    </w:p>
    <w:p w14:paraId="6039055B">
      <w:pPr>
        <w:keepNext w:val="0"/>
        <w:keepLines w:val="0"/>
        <w:pageBreakBefore w:val="0"/>
        <w:widowControl w:val="0"/>
        <w:kinsoku/>
        <w:wordWrap/>
        <w:overflowPunct/>
        <w:topLinePunct w:val="0"/>
        <w:autoSpaceDE/>
        <w:autoSpaceDN/>
        <w:bidi w:val="0"/>
        <w:adjustRightInd/>
        <w:snapToGrid/>
        <w:spacing w:line="62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eastAsia="zh-CN"/>
          <w14:textFill>
            <w14:solidFill>
              <w14:schemeClr w14:val="tx1"/>
            </w14:solidFill>
          </w14:textFill>
        </w:rPr>
        <w:t>试点县目标</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个试点</w:t>
      </w:r>
      <w:r>
        <w:rPr>
          <w:rFonts w:hint="default" w:ascii="Times New Roman" w:hAnsi="Times New Roman" w:eastAsia="方正仿宋_GBK" w:cs="Times New Roman"/>
          <w:color w:val="000000" w:themeColor="text1"/>
          <w:sz w:val="32"/>
          <w:szCs w:val="32"/>
          <w14:textFill>
            <w14:solidFill>
              <w14:schemeClr w14:val="tx1"/>
            </w14:solidFill>
          </w14:textFill>
        </w:rPr>
        <w:t>县开展粪肥就地消纳、就近还田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实施范围仅限耕地和园地</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补奖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，试点县要建立绿色种养循环有效机制，构建1—2种粪肥还田服务组织运行模式，集成推广</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套以上粪肥还田技术模式，促进有机肥料科学合理使用和畜禽粪污资源化利用，助力粮食大面积单产提升，推动农业绿色高质量发展。</w:t>
      </w:r>
    </w:p>
    <w:p w14:paraId="398FE98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二、重点工作</w:t>
      </w:r>
    </w:p>
    <w:p w14:paraId="2233A5C9">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（一）优化实施方案。</w:t>
      </w:r>
      <w:r>
        <w:rPr>
          <w:rFonts w:hint="default" w:ascii="Times New Roman" w:hAnsi="Times New Roman" w:eastAsia="方正仿宋_GBK" w:cs="Times New Roman"/>
          <w:color w:val="000000" w:themeColor="text1"/>
          <w:sz w:val="32"/>
          <w:szCs w:val="32"/>
          <w14:textFill>
            <w14:solidFill>
              <w14:schemeClr w14:val="tx1"/>
            </w14:solidFill>
          </w14:textFill>
        </w:rPr>
        <w:t>试点县要认真践行绿色生态农业发展理念，</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明确主体责任</w:t>
      </w:r>
      <w:r>
        <w:rPr>
          <w:rFonts w:hint="default" w:ascii="Times New Roman" w:hAnsi="Times New Roman" w:eastAsia="方正仿宋_GBK" w:cs="Times New Roman"/>
          <w:color w:val="000000" w:themeColor="text1"/>
          <w:sz w:val="32"/>
          <w:szCs w:val="32"/>
          <w14:textFill>
            <w14:solidFill>
              <w14:schemeClr w14:val="tx1"/>
            </w14:solidFill>
          </w14:textFill>
        </w:rPr>
        <w:t>，统筹做好畜禽养殖场与农田对接使用畜禽粪污的规划和顶层设计，合理确定试点区域、示范区范围和种养对接模式，试点区域和实施主体可根据实际需要进行适当动态调整。进一步优化完善实施方案，明确重点任务目标，合理安排实施进度。</w:t>
      </w:r>
    </w:p>
    <w:p w14:paraId="3136E51B">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（二）遴选服务主体。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试点县应优先培育本地有项目实施基础的服务主体，建立粪肥还田长效机制。实施主体无需每年重新遴选，按照</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大稳定小调整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原则进行动态调整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粪肥还田任务未完成、质量未达标或工作积极性不高的服务主体应予以调整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根据粪肥还田</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有主体、有规模、有场地、有技术、有设备、有基础</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b/>
          <w:bCs/>
          <w:color w:val="000000" w:themeColor="text1"/>
          <w:sz w:val="32"/>
          <w:szCs w:val="32"/>
          <w14:textFill>
            <w14:solidFill>
              <w14:schemeClr w14:val="tx1"/>
            </w14:solidFill>
          </w14:textFill>
        </w:rPr>
        <w:t>六有</w:t>
      </w:r>
      <w:r>
        <w:rPr>
          <w:rFonts w:hint="eastAsia" w:ascii="Times New Roman" w:hAnsi="Times New Roman" w:eastAsia="方正仿宋_GBK" w:cs="Times New Roman"/>
          <w:b/>
          <w:bCs/>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标准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公开补充遴选服务主体。</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鼓励有条件的养殖主体成立新的市场服务主体参与绿色种养循环工作。</w:t>
      </w:r>
    </w:p>
    <w:p w14:paraId="323C668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（三）加快资金执行。</w:t>
      </w:r>
      <w:r>
        <w:rPr>
          <w:rFonts w:hint="default" w:ascii="Times New Roman" w:hAnsi="Times New Roman" w:eastAsia="方正仿宋_GBK" w:cs="Times New Roman"/>
          <w:color w:val="000000" w:themeColor="text1"/>
          <w:sz w:val="32"/>
          <w:szCs w:val="32"/>
          <w14:textFill>
            <w14:solidFill>
              <w14:schemeClr w14:val="tx1"/>
            </w14:solidFill>
          </w14:textFill>
        </w:rPr>
        <w:t>各地要充分考虑农时季节和粪肥还田特点，简化项目审批流程，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确保上年度任务清零的基础上，加快完成</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本</w:t>
      </w:r>
      <w:r>
        <w:rPr>
          <w:rFonts w:hint="default" w:ascii="Times New Roman" w:hAnsi="Times New Roman" w:eastAsia="方正仿宋_GBK" w:cs="Times New Roman"/>
          <w:color w:val="000000" w:themeColor="text1"/>
          <w:sz w:val="32"/>
          <w:szCs w:val="32"/>
          <w14:textFill>
            <w14:solidFill>
              <w14:schemeClr w14:val="tx1"/>
            </w14:solidFill>
          </w14:textFill>
        </w:rPr>
        <w:t>年度任务。</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探索粮食作物、经济作物分类制定补助标准，鼓励按照亩均标准打包补奖。优</w:t>
      </w:r>
      <w:r>
        <w:rPr>
          <w:rFonts w:hint="default" w:ascii="Times New Roman" w:hAnsi="Times New Roman" w:eastAsia="方正仿宋_GBK" w:cs="Times New Roman"/>
          <w:color w:val="000000" w:themeColor="text1"/>
          <w:sz w:val="32"/>
          <w:szCs w:val="32"/>
          <w14:textFill>
            <w14:solidFill>
              <w14:schemeClr w14:val="tx1"/>
            </w14:solidFill>
          </w14:textFill>
        </w:rPr>
        <w:t>化资金支付方式，探索通过预付款、分期支付等方式，加快项目资金执行。</w:t>
      </w:r>
    </w:p>
    <w:p w14:paraId="193335DF">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left="0" w:leftChars="0" w:right="0" w:firstLine="640" w:firstLineChars="200"/>
        <w:textAlignment w:val="auto"/>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（四）创新运行机制。</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巩固提升</w:t>
      </w:r>
      <w:r>
        <w:rPr>
          <w:rFonts w:hint="default" w:ascii="Times New Roman" w:hAnsi="Times New Roman" w:eastAsia="方正仿宋_GBK" w:cs="Times New Roman"/>
          <w:color w:val="000000" w:themeColor="text1"/>
          <w:sz w:val="32"/>
          <w:szCs w:val="32"/>
          <w14:textFill>
            <w14:solidFill>
              <w14:schemeClr w14:val="tx1"/>
            </w14:solidFill>
          </w14:textFill>
        </w:rPr>
        <w:t>小型养殖场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加工制肥、协议消纳</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大型养殖场</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加工制肥、分散利用</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第三方处理中心</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集中收集、专业处理、商品生产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的畜禽粪污资源化利用模式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；合理借鉴推广</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绿色种养循环农业产业化联合体</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运作模式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采取政府购买服务的方式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以社会化服务组织培育为着力点，扶持一批社会化服务组织，培育一批粪肥应用的标杆，打通</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污染源</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向</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营养源</w:t>
      </w:r>
      <w:r>
        <w:rPr>
          <w:rFonts w:hint="eastAsia" w:ascii="Times New Roman" w:hAnsi="Times New Roman" w:eastAsia="方正仿宋_GBK" w:cs="Times New Roman"/>
          <w:color w:val="000000" w:themeColor="text1"/>
          <w:kern w:val="0"/>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lang w:val="en-US" w:eastAsia="zh-CN"/>
          <w14:textFill>
            <w14:solidFill>
              <w14:schemeClr w14:val="tx1"/>
            </w14:solidFill>
          </w14:textFill>
        </w:rPr>
        <w:t>转变的通道，推动农产品向绿色有机生产方式转变。</w:t>
      </w:r>
    </w:p>
    <w:p w14:paraId="14456D5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lang w:bidi="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（五）</w:t>
      </w:r>
      <w:r>
        <w:rPr>
          <w:rFonts w:hint="default" w:ascii="Times New Roman" w:hAnsi="Times New Roman" w:eastAsia="方正楷体_GBK" w:cs="Times New Roman"/>
          <w:color w:val="000000" w:themeColor="text1"/>
          <w:sz w:val="32"/>
          <w:szCs w:val="32"/>
          <w14:textFill>
            <w14:solidFill>
              <w14:schemeClr w14:val="tx1"/>
            </w14:solidFill>
          </w14:textFill>
        </w:rPr>
        <w:t>完善长效机制</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bidi="zh-CN"/>
          <w14:textFill>
            <w14:solidFill>
              <w14:schemeClr w14:val="tx1"/>
            </w14:solidFill>
          </w14:textFill>
        </w:rPr>
        <w:t>总结推广试点成功经验、典型做法、成熟模式，</w:t>
      </w:r>
      <w:r>
        <w:rPr>
          <w:rFonts w:hint="default" w:ascii="Times New Roman" w:hAnsi="Times New Roman" w:eastAsia="方正仿宋_GBK" w:cs="Times New Roman"/>
          <w:color w:val="000000" w:themeColor="text1"/>
          <w:sz w:val="32"/>
          <w:szCs w:val="32"/>
          <w:lang w:bidi="zh-CN"/>
          <w14:textFill>
            <w14:solidFill>
              <w14:schemeClr w14:val="tx1"/>
            </w14:solidFill>
          </w14:textFill>
        </w:rPr>
        <w:t>完善适合当地的粪肥还田社会化服务长效机制，引导县域内畜禽养殖主体、社会化服务主体、种植主体建立种养循环无缝对接合作机制，加快健全主体紧密衔接、互惠互利的利益联结机制和组织运行模式。</w:t>
      </w:r>
    </w:p>
    <w:p w14:paraId="4A0B578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（六）</w:t>
      </w: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做好试验监测。</w:t>
      </w:r>
      <w:r>
        <w:rPr>
          <w:rFonts w:hint="default" w:ascii="Times New Roman" w:hAnsi="Times New Roman" w:eastAsia="方正仿宋_GBK" w:cs="Times New Roman"/>
          <w:color w:val="000000" w:themeColor="text1"/>
          <w:sz w:val="32"/>
          <w:szCs w:val="32"/>
          <w14:textFill>
            <w14:solidFill>
              <w14:schemeClr w14:val="tx1"/>
            </w14:solidFill>
          </w14:textFill>
        </w:rPr>
        <w:t>严格按照《绿色种养循环农业试点效果监测方案》</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4"/>
          <w:sz w:val="32"/>
          <w:szCs w:val="32"/>
          <w14:textFill>
            <w14:solidFill>
              <w14:schemeClr w14:val="tx1"/>
            </w14:solidFill>
          </w14:textFill>
        </w:rPr>
        <w:t>每县田间试验不低于3项，监测点不少于20个。试验点和效果监测点应长期定位，安排专人管理维护，确保工作连续性和完整性。</w:t>
      </w:r>
      <w:r>
        <w:rPr>
          <w:rFonts w:hint="default" w:ascii="Times New Roman" w:hAnsi="Times New Roman" w:eastAsia="方正仿宋_GBK" w:cs="Times New Roman"/>
          <w:color w:val="000000" w:themeColor="text1"/>
          <w:sz w:val="32"/>
          <w:szCs w:val="32"/>
          <w14:textFill>
            <w14:solidFill>
              <w14:schemeClr w14:val="tx1"/>
            </w14:solidFill>
          </w14:textFill>
        </w:rPr>
        <w:t>及时收集汇总数据，形成年度粪肥还田试验与监测总结报告。严格按照《畜禽粪便堆肥技术规范》</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NY/T3442-2019</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标准进行堆肥处理</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进行粪肥质量抽检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健全粪肥还田台账</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确保还田粪肥质量达标，杜绝二次污染。</w:t>
      </w:r>
    </w:p>
    <w:p w14:paraId="35B152CE">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jc w:val="left"/>
        <w:textAlignment w:val="auto"/>
        <w:outlineLvl w:val="9"/>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楷体_GBK" w:cs="Times New Roman"/>
          <w:color w:val="000000" w:themeColor="text1"/>
          <w:sz w:val="32"/>
          <w:szCs w:val="32"/>
          <w:highlight w:val="none"/>
          <w:lang w:val="en-US" w:eastAsia="zh-CN"/>
          <w14:textFill>
            <w14:solidFill>
              <w14:schemeClr w14:val="tx1"/>
            </w14:solidFill>
          </w14:textFill>
        </w:rPr>
        <w:t>（七）细化粪肥用量。</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试点县充分运用测土配方施肥、耕地地力评价成果，结合绿色种养循环农业试点试验监测结果，参照《畜禽粪污土地承载力测算技术指南》《畜禽粪便还田技术规范》（GB/T 25246-2010），结合试点县耕地（园地）的海拔、土壤类型、土壤肥力、农作物种植结构、产量等因素，测算主要还田作物在不同片区的施肥量，监督第三方服务主体严格按施肥量有序开展粪肥还田。</w:t>
      </w:r>
    </w:p>
    <w:p w14:paraId="187F683A">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三、资金补助环节及标准</w:t>
      </w:r>
    </w:p>
    <w:p w14:paraId="2B72D7F8">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坚持</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以猪粪为主要粪源，商品有机肥不纳入奖补范围</w:t>
      </w: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原则，</w:t>
      </w:r>
      <w:r>
        <w:rPr>
          <w:rFonts w:hint="default" w:ascii="Times New Roman" w:hAnsi="Times New Roman" w:eastAsia="方正仿宋_GBK" w:cs="Times New Roman"/>
          <w:color w:val="000000" w:themeColor="text1"/>
          <w:sz w:val="32"/>
          <w:szCs w:val="32"/>
          <w14:textFill>
            <w14:solidFill>
              <w14:schemeClr w14:val="tx1"/>
            </w14:solidFill>
          </w14:textFill>
        </w:rPr>
        <w:t>主要对粪肥还田收集处理、施用服务等重点环节予以补奖</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支持对象主要是提供粪污收集处理服务的企业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不包括养殖企业</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、合作社等主体以及提供粪肥还田服务的主体。合理测算各环节补贴标准，补贴比例不超过本地区粪肥收集处理施用总成本的30%。对提供全环节服务的专业化服务主体</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b w:val="0"/>
          <w:bCs w:val="0"/>
          <w:color w:val="000000" w:themeColor="text1"/>
          <w:kern w:val="2"/>
          <w:sz w:val="32"/>
          <w:szCs w:val="32"/>
          <w:highlight w:val="none"/>
          <w:lang w:val="en-US" w:eastAsia="zh-CN" w:bidi="ar-SA"/>
          <w14:textFill>
            <w14:solidFill>
              <w14:schemeClr w14:val="tx1"/>
            </w14:solidFill>
          </w14:textFill>
        </w:rPr>
        <w:t>鼓励按照亩均标准打包补奖</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w:t>
      </w:r>
    </w:p>
    <w:p w14:paraId="23262CD0">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四、保障措施</w:t>
      </w:r>
    </w:p>
    <w:p w14:paraId="1728916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bookmarkStart w:id="0" w:name="bookmark7"/>
      <w:r>
        <w:rPr>
          <w:rFonts w:hint="default" w:ascii="Times New Roman" w:hAnsi="Times New Roman" w:eastAsia="方正楷体_GBK" w:cs="Times New Roman"/>
          <w:color w:val="000000" w:themeColor="text1"/>
          <w:sz w:val="32"/>
          <w:szCs w:val="32"/>
          <w14:textFill>
            <w14:solidFill>
              <w14:schemeClr w14:val="tx1"/>
            </w14:solidFill>
          </w14:textFill>
        </w:rPr>
        <w:t>（</w:t>
      </w:r>
      <w:bookmarkEnd w:id="0"/>
      <w:r>
        <w:rPr>
          <w:rFonts w:hint="default" w:ascii="Times New Roman" w:hAnsi="Times New Roman" w:eastAsia="方正楷体_GBK" w:cs="Times New Roman"/>
          <w:color w:val="000000" w:themeColor="text1"/>
          <w:sz w:val="32"/>
          <w:szCs w:val="32"/>
          <w14:textFill>
            <w14:solidFill>
              <w14:schemeClr w14:val="tx1"/>
            </w14:solidFill>
          </w14:textFill>
        </w:rPr>
        <w:t>一）强化组织领导。</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按照</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省负总责、地市督导、县抓落实</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责任机制</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加强</w:t>
      </w:r>
      <w:r>
        <w:rPr>
          <w:rFonts w:hint="default" w:ascii="Times New Roman" w:hAnsi="Times New Roman" w:eastAsia="方正仿宋_GBK" w:cs="Times New Roman"/>
          <w:color w:val="000000" w:themeColor="text1"/>
          <w:sz w:val="32"/>
          <w:szCs w:val="32"/>
          <w14:textFill>
            <w14:solidFill>
              <w14:schemeClr w14:val="tx1"/>
            </w14:solidFill>
          </w14:textFill>
        </w:rPr>
        <w:t>试点工作推进力度。试点县要切实履行项目实施主体责任，强化组织领导，压紧各级责任，优化项目管理，落实资金保障，加快实施进度。</w:t>
      </w:r>
    </w:p>
    <w:p w14:paraId="0F909C84">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00" w:lineRule="exact"/>
        <w:ind w:right="0" w:firstLine="640" w:firstLineChars="200"/>
        <w:textAlignment w:val="auto"/>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pPr>
      <w:bookmarkStart w:id="1" w:name="bookmark8"/>
      <w:r>
        <w:rPr>
          <w:rFonts w:hint="default" w:ascii="Times New Roman" w:hAnsi="Times New Roman" w:eastAsia="方正楷体_GBK" w:cs="Times New Roman"/>
          <w:color w:val="000000" w:themeColor="text1"/>
          <w:sz w:val="32"/>
          <w:szCs w:val="32"/>
          <w14:textFill>
            <w14:solidFill>
              <w14:schemeClr w14:val="tx1"/>
            </w14:solidFill>
          </w14:textFill>
        </w:rPr>
        <w:t>（</w:t>
      </w:r>
      <w:bookmarkEnd w:id="1"/>
      <w:r>
        <w:rPr>
          <w:rFonts w:hint="default" w:ascii="Times New Roman" w:hAnsi="Times New Roman" w:eastAsia="方正楷体_GBK" w:cs="Times New Roman"/>
          <w:color w:val="000000" w:themeColor="text1"/>
          <w:sz w:val="32"/>
          <w:szCs w:val="32"/>
          <w14:textFill>
            <w14:solidFill>
              <w14:schemeClr w14:val="tx1"/>
            </w14:solidFill>
          </w14:textFill>
        </w:rPr>
        <w:t>二）强化项目管理。</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试点县要按照项目工作法和项目清单化要求，做好试点工作的全程把控、实时把控、质量把控、风险把控。</w:t>
      </w:r>
      <w:r>
        <w:rPr>
          <w:rFonts w:hint="default" w:ascii="Times New Roman" w:hAnsi="Times New Roman" w:eastAsia="方正仿宋_GBK" w:cs="Times New Roman"/>
          <w:color w:val="000000" w:themeColor="text1"/>
          <w:sz w:val="32"/>
          <w:szCs w:val="32"/>
          <w14:textFill>
            <w14:solidFill>
              <w14:schemeClr w14:val="tx1"/>
            </w14:solidFill>
          </w14:textFill>
        </w:rPr>
        <w:t>加强社会化服务组织日常管理，</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切实提高我省绿色种养循环农业试点项目实施质量。</w:t>
      </w:r>
    </w:p>
    <w:p w14:paraId="5B256846">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（三）强化资金监管。</w:t>
      </w:r>
      <w:r>
        <w:rPr>
          <w:rFonts w:hint="default" w:ascii="Times New Roman" w:hAnsi="Times New Roman" w:eastAsia="方正仿宋_GBK" w:cs="Times New Roman"/>
          <w:color w:val="000000" w:themeColor="text1"/>
          <w:sz w:val="32"/>
          <w:szCs w:val="32"/>
          <w14:textFill>
            <w14:solidFill>
              <w14:schemeClr w14:val="tx1"/>
            </w14:solidFill>
          </w14:textFill>
        </w:rPr>
        <w:t>各试点县要</w:t>
      </w:r>
      <w:r>
        <w:rPr>
          <w:rFonts w:hint="default" w:ascii="Times New Roman" w:hAnsi="Times New Roman" w:eastAsia="方正仿宋_GBK" w:cs="Times New Roman"/>
          <w:color w:val="000000" w:themeColor="text1"/>
          <w:kern w:val="0"/>
          <w:sz w:val="32"/>
          <w:szCs w:val="32"/>
          <w14:textFill>
            <w14:solidFill>
              <w14:schemeClr w14:val="tx1"/>
            </w14:solidFill>
          </w14:textFill>
        </w:rPr>
        <w:t>严格加强项目补贴资金监管</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32"/>
          <w:szCs w:val="32"/>
          <w14:textFill>
            <w14:solidFill>
              <w14:schemeClr w14:val="tx1"/>
            </w14:solidFill>
          </w14:textFill>
        </w:rPr>
        <w:t>严格资金补贴范围，保障资金规范使用</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，切实推进资金</w:t>
      </w:r>
      <w:r>
        <w:rPr>
          <w:rFonts w:hint="default" w:ascii="Times New Roman" w:hAnsi="Times New Roman" w:eastAsia="方正仿宋_GBK" w:cs="Times New Roman"/>
          <w:color w:val="000000" w:themeColor="text1"/>
          <w:kern w:val="0"/>
          <w:sz w:val="32"/>
          <w:szCs w:val="32"/>
          <w14:textFill>
            <w14:solidFill>
              <w14:schemeClr w14:val="tx1"/>
            </w14:solidFill>
          </w14:textFill>
        </w:rPr>
        <w:t>拨付</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，加快</w:t>
      </w:r>
      <w:r>
        <w:rPr>
          <w:rFonts w:hint="default" w:ascii="Times New Roman" w:hAnsi="Times New Roman" w:eastAsia="方正仿宋_GBK" w:cs="Times New Roman"/>
          <w:color w:val="000000" w:themeColor="text1"/>
          <w:kern w:val="0"/>
          <w:sz w:val="32"/>
          <w:szCs w:val="32"/>
          <w14:textFill>
            <w14:solidFill>
              <w14:schemeClr w14:val="tx1"/>
            </w14:solidFill>
          </w14:textFill>
        </w:rPr>
        <w:t>补贴资金</w:t>
      </w:r>
      <w:r>
        <w:rPr>
          <w:rFonts w:hint="default" w:ascii="Times New Roman" w:hAnsi="Times New Roman" w:eastAsia="方正仿宋_GBK" w:cs="Times New Roman"/>
          <w:color w:val="000000" w:themeColor="text1"/>
          <w:kern w:val="0"/>
          <w:sz w:val="32"/>
          <w:szCs w:val="32"/>
          <w:lang w:eastAsia="zh-CN"/>
          <w14:textFill>
            <w14:solidFill>
              <w14:schemeClr w14:val="tx1"/>
            </w14:solidFill>
          </w14:textFill>
        </w:rPr>
        <w:t>支出进度。</w:t>
      </w:r>
      <w:bookmarkStart w:id="2" w:name="bookmark10"/>
    </w:p>
    <w:p w14:paraId="1CDDFF52">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w:t>
      </w:r>
      <w:bookmarkEnd w:id="2"/>
      <w:r>
        <w:rPr>
          <w:rFonts w:hint="default" w:ascii="Times New Roman" w:hAnsi="Times New Roman" w:eastAsia="方正楷体_GBK" w:cs="Times New Roman"/>
          <w:color w:val="000000" w:themeColor="text1"/>
          <w:sz w:val="32"/>
          <w:szCs w:val="32"/>
          <w14:textFill>
            <w14:solidFill>
              <w14:schemeClr w14:val="tx1"/>
            </w14:solidFill>
          </w14:textFill>
        </w:rPr>
        <w:t>四）</w:t>
      </w:r>
      <w:bookmarkStart w:id="3" w:name="bookmark11"/>
      <w:r>
        <w:rPr>
          <w:rFonts w:hint="default" w:ascii="Times New Roman" w:hAnsi="Times New Roman" w:eastAsia="方正楷体_GBK" w:cs="Times New Roman"/>
          <w:color w:val="000000" w:themeColor="text1"/>
          <w:sz w:val="32"/>
          <w:szCs w:val="32"/>
          <w14:textFill>
            <w14:solidFill>
              <w14:schemeClr w14:val="tx1"/>
            </w14:solidFill>
          </w14:textFill>
        </w:rPr>
        <w:t>强化技术服务。</w:t>
      </w:r>
      <w:r>
        <w:rPr>
          <w:rFonts w:hint="default" w:ascii="Times New Roman" w:hAnsi="Times New Roman" w:eastAsia="方正仿宋_GBK" w:cs="Times New Roman"/>
          <w:b w:val="0"/>
          <w:bCs w:val="0"/>
          <w:color w:val="000000" w:themeColor="text1"/>
          <w:kern w:val="0"/>
          <w:sz w:val="32"/>
          <w:szCs w:val="32"/>
          <w:lang w:val="en-US" w:eastAsia="zh-CN" w:bidi="ar-SA"/>
          <w14:textFill>
            <w14:solidFill>
              <w14:schemeClr w14:val="tx1"/>
            </w14:solidFill>
          </w14:textFill>
        </w:rPr>
        <w:t>充分发挥绿</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色种养循环农业试点项目专家组作用，组织专家对项目工作进行技术指导，监督指导专业化服务主体做好粪肥全环节服务工作。严格执行相关标准、规范和技术指导意见，对应用的腐熟粪肥实行服务组织（企业）自检与行业主管部门抽检相结合，确保不合格的粪肥不下田、不适宜的时间不下田。</w:t>
      </w:r>
    </w:p>
    <w:p w14:paraId="7CC6C7A5">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w:t>
      </w:r>
      <w:bookmarkEnd w:id="3"/>
      <w:r>
        <w:rPr>
          <w:rFonts w:hint="default" w:ascii="Times New Roman" w:hAnsi="Times New Roman" w:eastAsia="方正楷体_GBK" w:cs="Times New Roman"/>
          <w:color w:val="000000" w:themeColor="text1"/>
          <w:sz w:val="32"/>
          <w:szCs w:val="32"/>
          <w:lang w:eastAsia="zh-CN"/>
          <w14:textFill>
            <w14:solidFill>
              <w14:schemeClr w14:val="tx1"/>
            </w14:solidFill>
          </w14:textFill>
        </w:rPr>
        <w:t>五</w:t>
      </w:r>
      <w:r>
        <w:rPr>
          <w:rFonts w:hint="default" w:ascii="Times New Roman" w:hAnsi="Times New Roman" w:eastAsia="方正楷体_GBK" w:cs="Times New Roman"/>
          <w:color w:val="000000" w:themeColor="text1"/>
          <w:sz w:val="32"/>
          <w:szCs w:val="32"/>
          <w14:textFill>
            <w14:solidFill>
              <w14:schemeClr w14:val="tx1"/>
            </w14:solidFill>
          </w14:textFill>
        </w:rPr>
        <w:t>）强化宣传</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引导</w:t>
      </w:r>
      <w:r>
        <w:rPr>
          <w:rFonts w:hint="default" w:ascii="Times New Roman" w:hAnsi="Times New Roman" w:eastAsia="方正楷体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系统梳理试点启动以来的工作成效，重点对粪肥还田技术模式、组织运行机制、经济社会生态效益等进行提炼。</w:t>
      </w:r>
      <w:r>
        <w:rPr>
          <w:rFonts w:hint="default" w:ascii="Times New Roman" w:hAnsi="Times New Roman" w:eastAsia="方正仿宋_GBK" w:cs="Times New Roman"/>
          <w:color w:val="000000" w:themeColor="text1"/>
          <w:kern w:val="0"/>
          <w:sz w:val="32"/>
          <w:szCs w:val="32"/>
          <w:lang w:val="en-US" w:eastAsia="zh-CN" w:bidi="ar-SA"/>
          <w14:textFill>
            <w14:solidFill>
              <w14:schemeClr w14:val="tx1"/>
            </w14:solidFill>
          </w14:textFill>
        </w:rPr>
        <w:t>全方位、多角度、深层次宣传展示粪肥还田对节省化肥施用、改善耕地质量、提升耕地肥力、提升农产品产量和质量、助力农户和企业增收的典型事例</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，为</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农业绿色低碳循环发展</w:t>
      </w:r>
      <w:r>
        <w:rPr>
          <w:rFonts w:hint="default" w:ascii="Times New Roman" w:hAnsi="Times New Roman" w:eastAsia="方正仿宋_GBK" w:cs="Times New Roman"/>
          <w:color w:val="000000" w:themeColor="text1"/>
          <w:sz w:val="32"/>
          <w:szCs w:val="32"/>
          <w14:textFill>
            <w14:solidFill>
              <w14:schemeClr w14:val="tx1"/>
            </w14:solidFill>
          </w14:textFill>
        </w:rPr>
        <w:t>营造良好的舆论氛围。</w:t>
      </w:r>
    </w:p>
    <w:p w14:paraId="470317E1">
      <w:pPr>
        <w:keepNext w:val="0"/>
        <w:keepLines w:val="0"/>
        <w:pageBreakBefore w:val="0"/>
        <w:widowControl w:val="0"/>
        <w:kinsoku/>
        <w:wordWrap/>
        <w:overflowPunct/>
        <w:topLinePunct w:val="0"/>
        <w:autoSpaceDE/>
        <w:autoSpaceDN/>
        <w:bidi w:val="0"/>
        <w:adjustRightInd/>
        <w:snapToGrid/>
        <w:spacing w:line="600" w:lineRule="exact"/>
        <w:ind w:right="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lang w:val="en-US" w:eastAsia="zh-CN"/>
          <w14:textFill>
            <w14:solidFill>
              <w14:schemeClr w14:val="tx1"/>
            </w14:solidFill>
          </w14:textFill>
        </w:rPr>
        <w:t>（六）</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强化</w:t>
      </w:r>
      <w:r>
        <w:rPr>
          <w:rFonts w:hint="default" w:ascii="Times New Roman" w:hAnsi="Times New Roman" w:eastAsia="方正楷体_GBK" w:cs="Times New Roman"/>
          <w:color w:val="000000" w:themeColor="text1"/>
          <w:sz w:val="32"/>
          <w:szCs w:val="32"/>
          <w14:textFill>
            <w14:solidFill>
              <w14:schemeClr w14:val="tx1"/>
            </w14:solidFill>
          </w14:textFill>
        </w:rPr>
        <w:t>项目</w:t>
      </w:r>
      <w:r>
        <w:rPr>
          <w:rFonts w:hint="default" w:ascii="Times New Roman" w:hAnsi="Times New Roman" w:eastAsia="方正楷体_GBK" w:cs="Times New Roman"/>
          <w:color w:val="000000" w:themeColor="text1"/>
          <w:sz w:val="32"/>
          <w:szCs w:val="32"/>
          <w:lang w:eastAsia="zh-CN"/>
          <w14:textFill>
            <w14:solidFill>
              <w14:schemeClr w14:val="tx1"/>
            </w14:solidFill>
          </w14:textFill>
        </w:rPr>
        <w:t>总结</w:t>
      </w:r>
      <w:r>
        <w:rPr>
          <w:rFonts w:hint="default" w:ascii="Times New Roman" w:hAnsi="Times New Roman" w:eastAsia="方正楷体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2025年</w:t>
      </w:r>
      <w:r>
        <w:rPr>
          <w:rFonts w:hint="default" w:ascii="Times New Roman" w:hAnsi="Times New Roman" w:eastAsia="方正仿宋_GBK" w:cs="Times New Roman"/>
          <w:color w:val="000000" w:themeColor="text1"/>
          <w:sz w:val="32"/>
          <w:szCs w:val="32"/>
          <w14:textFill>
            <w14:solidFill>
              <w14:schemeClr w14:val="tx1"/>
            </w14:solidFill>
          </w14:textFill>
        </w:rPr>
        <w:t>试点县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于202</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6</w:t>
      </w:r>
      <w:r>
        <w:rPr>
          <w:rFonts w:hint="default" w:ascii="Times New Roman" w:hAnsi="Times New Roman" w:eastAsia="方正仿宋_GBK" w:cs="Times New Roman"/>
          <w:color w:val="000000" w:themeColor="text1"/>
          <w:sz w:val="32"/>
          <w:szCs w:val="32"/>
          <w14:textFill>
            <w14:solidFill>
              <w14:schemeClr w14:val="tx1"/>
            </w14:solidFill>
          </w14:textFill>
        </w:rPr>
        <w:t>年1月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20</w:t>
      </w:r>
      <w:r>
        <w:rPr>
          <w:rFonts w:hint="default" w:ascii="Times New Roman" w:hAnsi="Times New Roman" w:eastAsia="方正仿宋_GBK" w:cs="Times New Roman"/>
          <w:color w:val="000000" w:themeColor="text1"/>
          <w:sz w:val="32"/>
          <w:szCs w:val="32"/>
          <w14:textFill>
            <w14:solidFill>
              <w14:schemeClr w14:val="tx1"/>
            </w14:solidFill>
          </w14:textFill>
        </w:rPr>
        <w:t>日前</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分别</w:t>
      </w:r>
      <w:r>
        <w:rPr>
          <w:rFonts w:hint="default" w:ascii="Times New Roman" w:hAnsi="Times New Roman" w:eastAsia="方正仿宋_GBK" w:cs="Times New Roman"/>
          <w:color w:val="000000" w:themeColor="text1"/>
          <w:sz w:val="32"/>
          <w:szCs w:val="32"/>
          <w14:textFill>
            <w14:solidFill>
              <w14:schemeClr w14:val="tx1"/>
            </w14:solidFill>
          </w14:textFill>
        </w:rPr>
        <w:t>向省、</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州（</w:t>
      </w:r>
      <w:r>
        <w:rPr>
          <w:rFonts w:hint="default" w:ascii="Times New Roman" w:hAnsi="Times New Roman" w:eastAsia="方正仿宋_GBK" w:cs="Times New Roman"/>
          <w:color w:val="000000" w:themeColor="text1"/>
          <w:sz w:val="32"/>
          <w:szCs w:val="32"/>
          <w14:textFill>
            <w14:solidFill>
              <w14:schemeClr w14:val="tx1"/>
            </w14:solidFill>
          </w14:textFill>
        </w:rPr>
        <w:t>市</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农业农村部门报送试点年度总结、</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自评报告</w:t>
      </w:r>
      <w:r>
        <w:rPr>
          <w:rFonts w:hint="default" w:ascii="Times New Roman" w:hAnsi="Times New Roman" w:eastAsia="方正仿宋_GBK" w:cs="Times New Roman"/>
          <w:color w:val="000000" w:themeColor="text1"/>
          <w:sz w:val="32"/>
          <w:szCs w:val="32"/>
          <w14:textFill>
            <w14:solidFill>
              <w14:schemeClr w14:val="tx1"/>
            </w14:solidFill>
          </w14:textFill>
        </w:rPr>
        <w:t>、粪肥还田试验与监测总结报告等材料。</w:t>
      </w:r>
    </w:p>
    <w:p w14:paraId="69510EE1">
      <w:pPr>
        <w:keepNext w:val="0"/>
        <w:keepLines w:val="0"/>
        <w:pageBreakBefore w:val="0"/>
        <w:widowControl w:val="0"/>
        <w:kinsoku/>
        <w:wordWrap/>
        <w:overflowPunct/>
        <w:topLinePunct w:val="0"/>
        <w:autoSpaceDE/>
        <w:autoSpaceDN/>
        <w:bidi w:val="0"/>
        <w:adjustRightInd/>
        <w:snapToGrid/>
        <w:spacing w:line="600" w:lineRule="exact"/>
        <w:ind w:right="0" w:firstLine="560" w:firstLineChars="200"/>
        <w:textAlignment w:val="auto"/>
        <w:rPr>
          <w:rFonts w:hint="default" w:ascii="Times New Roman" w:hAnsi="Times New Roman" w:cs="Times New Roman"/>
          <w:color w:val="000000" w:themeColor="text1"/>
          <w:sz w:val="28"/>
          <w:szCs w:val="28"/>
          <w:lang w:val="en-US" w:eastAsia="zh-CN"/>
          <w14:textFill>
            <w14:solidFill>
              <w14:schemeClr w14:val="tx1"/>
            </w14:solidFill>
          </w14:textFill>
        </w:rPr>
      </w:pPr>
    </w:p>
    <w:p w14:paraId="06BC072F">
      <w:bookmarkStart w:id="4" w:name="_GoBack"/>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DD395C1C-C138-43F8-B2DE-7361B3527232}"/>
  </w:font>
  <w:font w:name="方正黑体_GBK">
    <w:panose1 w:val="02010600010101010101"/>
    <w:charset w:val="86"/>
    <w:family w:val="auto"/>
    <w:pitch w:val="default"/>
    <w:sig w:usb0="00000001" w:usb1="080E0000" w:usb2="00000000" w:usb3="00000000" w:csb0="00040000" w:csb1="00000000"/>
    <w:embedRegular r:id="rId2" w:fontKey="{94C30CC9-2746-4738-B6E4-1E268A03F3A9}"/>
  </w:font>
  <w:font w:name="Arial Unicode MS">
    <w:panose1 w:val="020B0604020202020204"/>
    <w:charset w:val="86"/>
    <w:family w:val="auto"/>
    <w:pitch w:val="default"/>
    <w:sig w:usb0="FFFFFFFF" w:usb1="E9FFFFFF" w:usb2="0000003F" w:usb3="00000000" w:csb0="603F01FF" w:csb1="FFFF0000"/>
    <w:embedRegular r:id="rId3" w:fontKey="{AFB164EB-5B74-47A1-A1F8-C0FE7DF00D46}"/>
  </w:font>
  <w:font w:name="方正小标宋_GBK">
    <w:panose1 w:val="02000000000000000000"/>
    <w:charset w:val="86"/>
    <w:family w:val="script"/>
    <w:pitch w:val="default"/>
    <w:sig w:usb0="A00002BF" w:usb1="38CF7CFA" w:usb2="00082016" w:usb3="00000000" w:csb0="00040001" w:csb1="00000000"/>
    <w:embedRegular r:id="rId4" w:fontKey="{5816C519-5CF9-482C-ACF0-F2C7CC23328C}"/>
  </w:font>
  <w:font w:name="方正仿宋_GBK">
    <w:panose1 w:val="02000000000000000000"/>
    <w:charset w:val="86"/>
    <w:family w:val="script"/>
    <w:pitch w:val="default"/>
    <w:sig w:usb0="A00002BF" w:usb1="38CF7CFA" w:usb2="00082016" w:usb3="00000000" w:csb0="00040001" w:csb1="00000000"/>
    <w:embedRegular r:id="rId5" w:fontKey="{9A08958B-D755-4628-89A7-654BDC10CAD4}"/>
  </w:font>
  <w:font w:name="方正楷体_GBK">
    <w:panose1 w:val="02000000000000000000"/>
    <w:charset w:val="86"/>
    <w:family w:val="auto"/>
    <w:pitch w:val="default"/>
    <w:sig w:usb0="800002BF" w:usb1="38CF7CFA" w:usb2="00000016" w:usb3="00000000" w:csb0="00040000" w:csb1="00000000"/>
    <w:embedRegular r:id="rId6" w:fontKey="{A04444B9-811B-4B89-AAF2-E2CFEF8867C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15BC9"/>
    <w:rsid w:val="01C516A1"/>
    <w:rsid w:val="0238044C"/>
    <w:rsid w:val="047258C7"/>
    <w:rsid w:val="05CE62E0"/>
    <w:rsid w:val="064177AA"/>
    <w:rsid w:val="07EA30E9"/>
    <w:rsid w:val="0835792E"/>
    <w:rsid w:val="08F66710"/>
    <w:rsid w:val="0A4B2F82"/>
    <w:rsid w:val="0A7656FA"/>
    <w:rsid w:val="0AFE4899"/>
    <w:rsid w:val="0C062C2F"/>
    <w:rsid w:val="0FA64FE5"/>
    <w:rsid w:val="0FAE0C91"/>
    <w:rsid w:val="11B470B1"/>
    <w:rsid w:val="13C23B0B"/>
    <w:rsid w:val="13C61ACD"/>
    <w:rsid w:val="151C3799"/>
    <w:rsid w:val="1763307A"/>
    <w:rsid w:val="17BB34D4"/>
    <w:rsid w:val="19480231"/>
    <w:rsid w:val="1A174258"/>
    <w:rsid w:val="1A2F63A2"/>
    <w:rsid w:val="1C523383"/>
    <w:rsid w:val="1D6051C9"/>
    <w:rsid w:val="1FE364A4"/>
    <w:rsid w:val="20316DB2"/>
    <w:rsid w:val="216B7714"/>
    <w:rsid w:val="22E846E5"/>
    <w:rsid w:val="23116F6F"/>
    <w:rsid w:val="24175CD2"/>
    <w:rsid w:val="24627D0E"/>
    <w:rsid w:val="25115BC9"/>
    <w:rsid w:val="255A40F4"/>
    <w:rsid w:val="25801D6A"/>
    <w:rsid w:val="267F7337"/>
    <w:rsid w:val="27537CDA"/>
    <w:rsid w:val="2C180B8D"/>
    <w:rsid w:val="2D566398"/>
    <w:rsid w:val="2E254D46"/>
    <w:rsid w:val="2E53226B"/>
    <w:rsid w:val="30301667"/>
    <w:rsid w:val="31AE3DFF"/>
    <w:rsid w:val="31E60784"/>
    <w:rsid w:val="33005EB6"/>
    <w:rsid w:val="33D61D32"/>
    <w:rsid w:val="350A0C28"/>
    <w:rsid w:val="3652650B"/>
    <w:rsid w:val="39305C77"/>
    <w:rsid w:val="3CFC1F8D"/>
    <w:rsid w:val="3D9C7583"/>
    <w:rsid w:val="43C01E88"/>
    <w:rsid w:val="49AC60B3"/>
    <w:rsid w:val="4AD14662"/>
    <w:rsid w:val="4C141812"/>
    <w:rsid w:val="4C716858"/>
    <w:rsid w:val="4EC975B3"/>
    <w:rsid w:val="50AE71B1"/>
    <w:rsid w:val="518F2F8C"/>
    <w:rsid w:val="51B07FF9"/>
    <w:rsid w:val="52FF05BB"/>
    <w:rsid w:val="539360C0"/>
    <w:rsid w:val="558651B1"/>
    <w:rsid w:val="56677E1F"/>
    <w:rsid w:val="586C56F4"/>
    <w:rsid w:val="58ED5B81"/>
    <w:rsid w:val="59490913"/>
    <w:rsid w:val="5950093A"/>
    <w:rsid w:val="59D021AA"/>
    <w:rsid w:val="5A7305E7"/>
    <w:rsid w:val="5B9D1953"/>
    <w:rsid w:val="5C6B6CFA"/>
    <w:rsid w:val="5CD57B3A"/>
    <w:rsid w:val="5FC01ED7"/>
    <w:rsid w:val="621D7858"/>
    <w:rsid w:val="62963BFD"/>
    <w:rsid w:val="62C371D1"/>
    <w:rsid w:val="645C2D80"/>
    <w:rsid w:val="6500002F"/>
    <w:rsid w:val="652C04A2"/>
    <w:rsid w:val="68C41083"/>
    <w:rsid w:val="68F46907"/>
    <w:rsid w:val="6956490A"/>
    <w:rsid w:val="6C1E4A4F"/>
    <w:rsid w:val="6CA47842"/>
    <w:rsid w:val="705B4861"/>
    <w:rsid w:val="73BC7A86"/>
    <w:rsid w:val="73BE1C74"/>
    <w:rsid w:val="75153AFB"/>
    <w:rsid w:val="779459B3"/>
    <w:rsid w:val="78004B75"/>
    <w:rsid w:val="78BE5468"/>
    <w:rsid w:val="7BF475C6"/>
    <w:rsid w:val="7C754207"/>
    <w:rsid w:val="7D296A53"/>
    <w:rsid w:val="7F454217"/>
    <w:rsid w:val="7FD03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Calibri" w:hAnsi="Calibri"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云南省林业厅</Company>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2025-12-19T06:52:00Z</dcterms:created>
  <dc:creator>微信用户</dc:creator>
  <cp:lastModifiedBy>微信用户</cp:lastModifiedBy>
  <dcterms:modified xsi:type="dcterms:W3CDTF">2025-12-19T06:52:53Z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78AD73348864453EBAEBE598D609F38F_11</vt:lpwstr>
  </property>
  <property fmtid="{D5CDD505-2E9C-101B-9397-08002B2CF9AE}" pid="4" name="KSOTemplateDocerSaveRecord">
    <vt:lpwstr>eyJoZGlkIjoiM2UyNGQ3YjUwMTViZThiNGNjZGE5NTI5MzE1ZDNkMDgiLCJ1c2VySWQiOiIxNDAwMTY2MTcwIn0=</vt:lpwstr>
  </property>
</Properties>
</file>