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6B5EAF">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黑体" w:hAnsi="黑体" w:eastAsia="黑体" w:cs="黑体"/>
          <w:b/>
          <w:bCs/>
          <w:color w:val="000000" w:themeColor="text1"/>
          <w:kern w:val="0"/>
          <w:sz w:val="36"/>
          <w:szCs w:val="22"/>
          <w:highlight w:val="none"/>
          <w:lang w:val="en-US" w:eastAsia="zh-CN"/>
          <w14:textFill>
            <w14:solidFill>
              <w14:schemeClr w14:val="tx1"/>
            </w14:solidFill>
          </w14:textFill>
        </w:rPr>
      </w:pPr>
      <w:r>
        <w:rPr>
          <w:rFonts w:hint="eastAsia" w:ascii="微软雅黑" w:hAnsi="微软雅黑" w:eastAsia="微软雅黑" w:cs="微软雅黑"/>
          <w:i w:val="0"/>
          <w:iCs w:val="0"/>
          <w:caps w:val="0"/>
          <w:color w:val="333333"/>
          <w:spacing w:val="0"/>
          <w:kern w:val="0"/>
          <w:sz w:val="24"/>
          <w:szCs w:val="24"/>
          <w:shd w:val="clear" w:color="auto" w:fill="FFFFFF"/>
          <w:lang w:val="en-US" w:eastAsia="zh-CN" w:bidi="ar"/>
        </w:rPr>
        <w:t>附件</w:t>
      </w:r>
    </w:p>
    <w:p w14:paraId="235E33FF">
      <w:pPr>
        <w:jc w:val="center"/>
        <w:outlineLvl w:val="0"/>
        <w:rPr>
          <w:rFonts w:hint="eastAsia" w:ascii="黑体" w:hAnsi="黑体" w:eastAsia="黑体" w:cs="黑体"/>
          <w:b w:val="0"/>
          <w:bCs w:val="0"/>
          <w:color w:val="000000" w:themeColor="text1"/>
          <w:kern w:val="0"/>
          <w:sz w:val="36"/>
          <w:szCs w:val="22"/>
          <w:highlight w:val="none"/>
          <w14:textFill>
            <w14:solidFill>
              <w14:schemeClr w14:val="tx1"/>
            </w14:solidFill>
          </w14:textFill>
        </w:rPr>
      </w:pPr>
      <w:r>
        <w:rPr>
          <w:rFonts w:hint="eastAsia" w:ascii="黑体" w:hAnsi="黑体" w:eastAsia="黑体" w:cs="黑体"/>
          <w:b w:val="0"/>
          <w:bCs w:val="0"/>
          <w:color w:val="000000" w:themeColor="text1"/>
          <w:kern w:val="0"/>
          <w:sz w:val="36"/>
          <w:szCs w:val="22"/>
          <w:highlight w:val="none"/>
          <w14:textFill>
            <w14:solidFill>
              <w14:schemeClr w14:val="tx1"/>
            </w14:solidFill>
          </w14:textFill>
        </w:rPr>
        <w:t>采购需求</w:t>
      </w:r>
    </w:p>
    <w:p w14:paraId="10EE3BE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jc w:val="both"/>
        <w:rPr>
          <w:rFonts w:hint="eastAsia" w:ascii="微软雅黑" w:hAnsi="微软雅黑" w:eastAsia="微软雅黑" w:cs="微软雅黑"/>
          <w:i w:val="0"/>
          <w:iCs w:val="0"/>
          <w:caps w:val="0"/>
          <w:color w:val="333333"/>
          <w:spacing w:val="0"/>
          <w:sz w:val="24"/>
          <w:szCs w:val="24"/>
          <w:shd w:val="clear" w:color="auto" w:fill="FFFFFF"/>
        </w:rPr>
      </w:pPr>
      <w:bookmarkStart w:id="0" w:name="_Toc22802"/>
      <w:bookmarkStart w:id="1" w:name="_Toc11396"/>
      <w:bookmarkStart w:id="2" w:name="_Toc7952"/>
      <w:r>
        <w:rPr>
          <w:rFonts w:hint="eastAsia" w:ascii="微软雅黑" w:hAnsi="微软雅黑" w:eastAsia="微软雅黑" w:cs="微软雅黑"/>
          <w:i w:val="0"/>
          <w:iCs w:val="0"/>
          <w:caps w:val="0"/>
          <w:color w:val="333333"/>
          <w:spacing w:val="0"/>
          <w:sz w:val="24"/>
          <w:szCs w:val="24"/>
          <w:shd w:val="clear" w:color="auto" w:fill="FFFFFF"/>
        </w:rPr>
        <w:t>采购标的需执行的国家相关标准、行业标准、地方标准或者</w:t>
      </w:r>
      <w:r>
        <w:rPr>
          <w:rFonts w:hint="eastAsia" w:ascii="微软雅黑" w:hAnsi="微软雅黑" w:eastAsia="微软雅黑" w:cs="微软雅黑"/>
          <w:i w:val="0"/>
          <w:iCs w:val="0"/>
          <w:caps w:val="0"/>
          <w:color w:val="333333"/>
          <w:spacing w:val="0"/>
          <w:sz w:val="24"/>
          <w:szCs w:val="24"/>
          <w:shd w:val="clear" w:color="auto" w:fill="FFFFFF"/>
          <w:lang w:eastAsia="zh-CN"/>
        </w:rPr>
        <w:t>其他</w:t>
      </w:r>
      <w:r>
        <w:rPr>
          <w:rFonts w:hint="eastAsia" w:ascii="微软雅黑" w:hAnsi="微软雅黑" w:eastAsia="微软雅黑" w:cs="微软雅黑"/>
          <w:i w:val="0"/>
          <w:iCs w:val="0"/>
          <w:caps w:val="0"/>
          <w:color w:val="333333"/>
          <w:spacing w:val="0"/>
          <w:sz w:val="24"/>
          <w:szCs w:val="24"/>
          <w:shd w:val="clear" w:color="auto" w:fill="FFFFFF"/>
        </w:rPr>
        <w:t>标准、规范</w:t>
      </w:r>
      <w:bookmarkEnd w:id="0"/>
      <w:bookmarkEnd w:id="1"/>
      <w:bookmarkEnd w:id="2"/>
    </w:p>
    <w:p w14:paraId="574103F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both"/>
        <w:rPr>
          <w:rFonts w:hint="eastAsia" w:ascii="微软雅黑" w:hAnsi="微软雅黑" w:eastAsia="微软雅黑" w:cs="微软雅黑"/>
          <w:i w:val="0"/>
          <w:iCs w:val="0"/>
          <w:caps w:val="0"/>
          <w:color w:val="333333"/>
          <w:spacing w:val="0"/>
          <w:sz w:val="24"/>
          <w:szCs w:val="24"/>
          <w:shd w:val="clear" w:color="auto" w:fill="FFFFFF"/>
          <w:lang w:eastAsia="zh-CN"/>
        </w:rPr>
      </w:pPr>
      <w:bookmarkStart w:id="3" w:name="_Toc8973"/>
      <w:bookmarkStart w:id="4" w:name="_Toc15609"/>
      <w:bookmarkStart w:id="5" w:name="_Toc749"/>
      <w:r>
        <w:rPr>
          <w:rFonts w:hint="eastAsia" w:ascii="微软雅黑" w:hAnsi="微软雅黑" w:eastAsia="微软雅黑" w:cs="微软雅黑"/>
          <w:i w:val="0"/>
          <w:iCs w:val="0"/>
          <w:caps w:val="0"/>
          <w:color w:val="333333"/>
          <w:spacing w:val="0"/>
          <w:sz w:val="24"/>
          <w:szCs w:val="24"/>
          <w:shd w:val="clear" w:color="auto" w:fill="FFFFFF"/>
          <w:lang w:val="en-US" w:eastAsia="zh-CN"/>
        </w:rPr>
        <w:t>符合</w:t>
      </w:r>
      <w:r>
        <w:rPr>
          <w:rFonts w:hint="eastAsia" w:ascii="微软雅黑" w:hAnsi="微软雅黑" w:eastAsia="微软雅黑" w:cs="微软雅黑"/>
          <w:i w:val="0"/>
          <w:iCs w:val="0"/>
          <w:caps w:val="0"/>
          <w:color w:val="333333"/>
          <w:spacing w:val="0"/>
          <w:sz w:val="24"/>
          <w:szCs w:val="24"/>
          <w:shd w:val="clear" w:color="auto" w:fill="FFFFFF"/>
        </w:rPr>
        <w:t>国家TSGT5002-2017《电梯维护保养规则》及TSG08-2017</w:t>
      </w:r>
      <w:bookmarkStart w:id="12" w:name="_GoBack"/>
      <w:bookmarkEnd w:id="12"/>
      <w:r>
        <w:rPr>
          <w:rFonts w:hint="eastAsia" w:ascii="微软雅黑" w:hAnsi="微软雅黑" w:eastAsia="微软雅黑" w:cs="微软雅黑"/>
          <w:i w:val="0"/>
          <w:iCs w:val="0"/>
          <w:caps w:val="0"/>
          <w:color w:val="333333"/>
          <w:spacing w:val="0"/>
          <w:sz w:val="24"/>
          <w:szCs w:val="24"/>
          <w:shd w:val="clear" w:color="auto" w:fill="FFFFFF"/>
        </w:rPr>
        <w:t>《特种设备使用管理规则》</w:t>
      </w:r>
      <w:r>
        <w:rPr>
          <w:rFonts w:hint="eastAsia" w:ascii="微软雅黑" w:hAnsi="微软雅黑" w:eastAsia="微软雅黑" w:cs="微软雅黑"/>
          <w:i w:val="0"/>
          <w:iCs w:val="0"/>
          <w:caps w:val="0"/>
          <w:color w:val="333333"/>
          <w:spacing w:val="0"/>
          <w:sz w:val="24"/>
          <w:szCs w:val="24"/>
          <w:shd w:val="clear" w:color="auto" w:fill="FFFFFF"/>
          <w:lang w:eastAsia="zh-CN"/>
        </w:rPr>
        <w:t>。</w:t>
      </w:r>
    </w:p>
    <w:p w14:paraId="4C7B8BB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jc w:val="both"/>
        <w:rPr>
          <w:rFonts w:hint="eastAsia" w:ascii="微软雅黑" w:hAnsi="微软雅黑" w:eastAsia="微软雅黑" w:cs="微软雅黑"/>
          <w:b/>
          <w:bCs/>
          <w:i w:val="0"/>
          <w:iCs w:val="0"/>
          <w:caps w:val="0"/>
          <w:color w:val="333333"/>
          <w:spacing w:val="0"/>
          <w:sz w:val="24"/>
          <w:szCs w:val="24"/>
          <w:shd w:val="clear" w:color="auto" w:fill="FFFFFF"/>
        </w:rPr>
      </w:pPr>
      <w:r>
        <w:rPr>
          <w:rFonts w:hint="eastAsia" w:ascii="微软雅黑" w:hAnsi="微软雅黑" w:eastAsia="微软雅黑" w:cs="微软雅黑"/>
          <w:b/>
          <w:bCs/>
          <w:i w:val="0"/>
          <w:iCs w:val="0"/>
          <w:caps w:val="0"/>
          <w:color w:val="333333"/>
          <w:spacing w:val="0"/>
          <w:sz w:val="24"/>
          <w:szCs w:val="24"/>
          <w:shd w:val="clear" w:color="auto" w:fill="FFFFFF"/>
          <w:lang w:val="en-US" w:eastAsia="zh-CN"/>
        </w:rPr>
        <w:t>一</w:t>
      </w:r>
      <w:r>
        <w:rPr>
          <w:rFonts w:hint="eastAsia" w:ascii="微软雅黑" w:hAnsi="微软雅黑" w:eastAsia="微软雅黑" w:cs="微软雅黑"/>
          <w:b/>
          <w:bCs/>
          <w:i w:val="0"/>
          <w:iCs w:val="0"/>
          <w:caps w:val="0"/>
          <w:color w:val="333333"/>
          <w:spacing w:val="0"/>
          <w:sz w:val="24"/>
          <w:szCs w:val="24"/>
          <w:shd w:val="clear" w:color="auto" w:fill="FFFFFF"/>
        </w:rPr>
        <w:t>、采购标的需满足的质量、安全、技术规格、物理特性等要求</w:t>
      </w:r>
      <w:bookmarkEnd w:id="3"/>
      <w:bookmarkEnd w:id="4"/>
      <w:bookmarkEnd w:id="5"/>
    </w:p>
    <w:p w14:paraId="65A6C3E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jc w:val="both"/>
        <w:rPr>
          <w:rFonts w:hint="eastAsia" w:ascii="微软雅黑" w:hAnsi="微软雅黑" w:eastAsia="微软雅黑" w:cs="微软雅黑"/>
          <w:i w:val="0"/>
          <w:iCs w:val="0"/>
          <w:caps w:val="0"/>
          <w:color w:val="333333"/>
          <w:spacing w:val="0"/>
          <w:sz w:val="24"/>
          <w:szCs w:val="24"/>
          <w:shd w:val="clear" w:color="auto" w:fill="FFFFFF"/>
          <w:lang w:val="en-US" w:eastAsia="zh-CN"/>
        </w:rPr>
      </w:pPr>
      <w:bookmarkStart w:id="6" w:name="_Toc11993"/>
      <w:bookmarkStart w:id="7" w:name="_Toc2950"/>
      <w:r>
        <w:rPr>
          <w:rFonts w:hint="eastAsia" w:ascii="微软雅黑" w:hAnsi="微软雅黑" w:eastAsia="微软雅黑" w:cs="微软雅黑"/>
          <w:i w:val="0"/>
          <w:iCs w:val="0"/>
          <w:caps w:val="0"/>
          <w:color w:val="333333"/>
          <w:spacing w:val="0"/>
          <w:sz w:val="24"/>
          <w:szCs w:val="24"/>
          <w:shd w:val="clear" w:color="auto" w:fill="FFFFFF"/>
          <w:lang w:val="en-US" w:eastAsia="zh-CN"/>
        </w:rPr>
        <w:t>（一）电梯维护保养服务内容</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94"/>
        <w:gridCol w:w="1394"/>
        <w:gridCol w:w="1462"/>
        <w:gridCol w:w="1480"/>
        <w:gridCol w:w="1743"/>
        <w:gridCol w:w="1049"/>
      </w:tblGrid>
      <w:tr w14:paraId="2518C9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70" w:type="dxa"/>
            <w:vAlign w:val="center"/>
          </w:tcPr>
          <w:p w14:paraId="1B09621B">
            <w:pPr>
              <w:pStyle w:val="8"/>
              <w:pageBreakBefore w:val="0"/>
              <w:kinsoku/>
              <w:wordWrap/>
              <w:overflowPunct/>
              <w:topLinePunct w:val="0"/>
              <w:autoSpaceDE/>
              <w:autoSpaceDN/>
              <w:bidi w:val="0"/>
              <w:spacing w:line="360" w:lineRule="auto"/>
              <w:ind w:left="0" w:leftChars="0" w:firstLine="0" w:firstLineChars="0"/>
              <w:jc w:val="center"/>
              <w:outlineLvl w:val="9"/>
              <w:rPr>
                <w:rFonts w:hint="eastAsia" w:ascii="黑体" w:hAnsi="黑体" w:eastAsia="黑体" w:cs="黑体"/>
                <w:b/>
                <w:bCs w:val="0"/>
                <w:color w:val="000000" w:themeColor="text1"/>
                <w:kern w:val="44"/>
                <w:sz w:val="22"/>
                <w:szCs w:val="22"/>
                <w:highlight w:val="none"/>
                <w:vertAlign w:val="baseline"/>
                <w:lang w:val="en-US" w:eastAsia="zh-CN"/>
                <w14:textFill>
                  <w14:solidFill>
                    <w14:schemeClr w14:val="tx1"/>
                  </w14:solidFill>
                </w14:textFill>
              </w:rPr>
            </w:pPr>
            <w:r>
              <w:rPr>
                <w:rFonts w:hint="eastAsia" w:ascii="黑体" w:hAnsi="黑体" w:eastAsia="黑体" w:cs="黑体"/>
                <w:b/>
                <w:bCs w:val="0"/>
                <w:color w:val="000000" w:themeColor="text1"/>
                <w:kern w:val="44"/>
                <w:sz w:val="22"/>
                <w:szCs w:val="22"/>
                <w:highlight w:val="none"/>
                <w:vertAlign w:val="baseline"/>
                <w:lang w:val="en-US" w:eastAsia="zh-CN"/>
                <w14:textFill>
                  <w14:solidFill>
                    <w14:schemeClr w14:val="tx1"/>
                  </w14:solidFill>
                </w14:textFill>
              </w:rPr>
              <w:t>电梯编号</w:t>
            </w:r>
          </w:p>
        </w:tc>
        <w:tc>
          <w:tcPr>
            <w:tcW w:w="1570" w:type="dxa"/>
            <w:vAlign w:val="center"/>
          </w:tcPr>
          <w:p w14:paraId="72EF468E">
            <w:pPr>
              <w:pStyle w:val="8"/>
              <w:pageBreakBefore w:val="0"/>
              <w:kinsoku/>
              <w:wordWrap/>
              <w:overflowPunct/>
              <w:topLinePunct w:val="0"/>
              <w:autoSpaceDE/>
              <w:autoSpaceDN/>
              <w:bidi w:val="0"/>
              <w:spacing w:line="360" w:lineRule="auto"/>
              <w:ind w:left="0" w:leftChars="0" w:firstLine="0" w:firstLineChars="0"/>
              <w:jc w:val="center"/>
              <w:outlineLvl w:val="9"/>
              <w:rPr>
                <w:rFonts w:hint="eastAsia" w:ascii="黑体" w:hAnsi="黑体" w:eastAsia="黑体" w:cs="黑体"/>
                <w:b/>
                <w:bCs w:val="0"/>
                <w:color w:val="000000" w:themeColor="text1"/>
                <w:kern w:val="44"/>
                <w:sz w:val="22"/>
                <w:szCs w:val="22"/>
                <w:highlight w:val="none"/>
                <w:vertAlign w:val="baseline"/>
                <w:lang w:val="en-US" w:eastAsia="zh-CN"/>
                <w14:textFill>
                  <w14:solidFill>
                    <w14:schemeClr w14:val="tx1"/>
                  </w14:solidFill>
                </w14:textFill>
              </w:rPr>
            </w:pPr>
            <w:r>
              <w:rPr>
                <w:rFonts w:hint="eastAsia" w:ascii="黑体" w:hAnsi="黑体" w:eastAsia="黑体" w:cs="黑体"/>
                <w:b/>
                <w:bCs w:val="0"/>
                <w:color w:val="000000" w:themeColor="text1"/>
                <w:kern w:val="44"/>
                <w:sz w:val="22"/>
                <w:szCs w:val="22"/>
                <w:highlight w:val="none"/>
                <w:vertAlign w:val="baseline"/>
                <w:lang w:val="en-US" w:eastAsia="zh-CN"/>
                <w14:textFill>
                  <w14:solidFill>
                    <w14:schemeClr w14:val="tx1"/>
                  </w14:solidFill>
                </w14:textFill>
              </w:rPr>
              <w:t>梯型</w:t>
            </w:r>
          </w:p>
        </w:tc>
        <w:tc>
          <w:tcPr>
            <w:tcW w:w="1570" w:type="dxa"/>
            <w:vAlign w:val="center"/>
          </w:tcPr>
          <w:p w14:paraId="2DAB5D16">
            <w:pPr>
              <w:pStyle w:val="8"/>
              <w:pageBreakBefore w:val="0"/>
              <w:kinsoku/>
              <w:wordWrap/>
              <w:overflowPunct/>
              <w:topLinePunct w:val="0"/>
              <w:autoSpaceDE/>
              <w:autoSpaceDN/>
              <w:bidi w:val="0"/>
              <w:spacing w:line="360" w:lineRule="auto"/>
              <w:ind w:left="0" w:leftChars="0" w:firstLine="0" w:firstLineChars="0"/>
              <w:jc w:val="center"/>
              <w:outlineLvl w:val="9"/>
              <w:rPr>
                <w:rFonts w:hint="eastAsia" w:ascii="黑体" w:hAnsi="黑体" w:eastAsia="黑体" w:cs="黑体"/>
                <w:b/>
                <w:bCs w:val="0"/>
                <w:color w:val="000000" w:themeColor="text1"/>
                <w:kern w:val="44"/>
                <w:sz w:val="22"/>
                <w:szCs w:val="22"/>
                <w:highlight w:val="none"/>
                <w:vertAlign w:val="baseline"/>
                <w:lang w:val="en-US" w:eastAsia="zh-CN"/>
                <w14:textFill>
                  <w14:solidFill>
                    <w14:schemeClr w14:val="tx1"/>
                  </w14:solidFill>
                </w14:textFill>
              </w:rPr>
            </w:pPr>
            <w:r>
              <w:rPr>
                <w:rFonts w:hint="eastAsia" w:ascii="黑体" w:hAnsi="黑体" w:eastAsia="黑体" w:cs="黑体"/>
                <w:b/>
                <w:bCs w:val="0"/>
                <w:color w:val="000000" w:themeColor="text1"/>
                <w:kern w:val="44"/>
                <w:sz w:val="22"/>
                <w:szCs w:val="22"/>
                <w:highlight w:val="none"/>
                <w:vertAlign w:val="baseline"/>
                <w:lang w:val="en-US" w:eastAsia="zh-CN"/>
                <w14:textFill>
                  <w14:solidFill>
                    <w14:schemeClr w14:val="tx1"/>
                  </w14:solidFill>
                </w14:textFill>
              </w:rPr>
              <w:t>载重</w:t>
            </w:r>
          </w:p>
        </w:tc>
        <w:tc>
          <w:tcPr>
            <w:tcW w:w="1571" w:type="dxa"/>
            <w:vAlign w:val="center"/>
          </w:tcPr>
          <w:p w14:paraId="477CB19E">
            <w:pPr>
              <w:pStyle w:val="8"/>
              <w:pageBreakBefore w:val="0"/>
              <w:kinsoku/>
              <w:wordWrap/>
              <w:overflowPunct/>
              <w:topLinePunct w:val="0"/>
              <w:autoSpaceDE/>
              <w:autoSpaceDN/>
              <w:bidi w:val="0"/>
              <w:spacing w:line="360" w:lineRule="auto"/>
              <w:ind w:left="0" w:leftChars="0" w:firstLine="0" w:firstLineChars="0"/>
              <w:jc w:val="center"/>
              <w:outlineLvl w:val="9"/>
              <w:rPr>
                <w:rFonts w:hint="eastAsia" w:ascii="黑体" w:hAnsi="黑体" w:eastAsia="黑体" w:cs="黑体"/>
                <w:b/>
                <w:bCs w:val="0"/>
                <w:color w:val="000000" w:themeColor="text1"/>
                <w:kern w:val="44"/>
                <w:sz w:val="22"/>
                <w:szCs w:val="22"/>
                <w:highlight w:val="none"/>
                <w:vertAlign w:val="baseline"/>
                <w:lang w:val="en-US" w:eastAsia="zh-CN"/>
                <w14:textFill>
                  <w14:solidFill>
                    <w14:schemeClr w14:val="tx1"/>
                  </w14:solidFill>
                </w14:textFill>
              </w:rPr>
            </w:pPr>
            <w:r>
              <w:rPr>
                <w:rFonts w:hint="eastAsia" w:ascii="黑体" w:hAnsi="黑体" w:eastAsia="黑体" w:cs="黑体"/>
                <w:b/>
                <w:bCs w:val="0"/>
                <w:color w:val="000000" w:themeColor="text1"/>
                <w:kern w:val="44"/>
                <w:sz w:val="22"/>
                <w:szCs w:val="22"/>
                <w:highlight w:val="none"/>
                <w:vertAlign w:val="baseline"/>
                <w:lang w:val="en-US" w:eastAsia="zh-CN"/>
                <w14:textFill>
                  <w14:solidFill>
                    <w14:schemeClr w14:val="tx1"/>
                  </w14:solidFill>
                </w14:textFill>
              </w:rPr>
              <w:t>速度</w:t>
            </w:r>
          </w:p>
        </w:tc>
        <w:tc>
          <w:tcPr>
            <w:tcW w:w="1982" w:type="dxa"/>
            <w:vAlign w:val="center"/>
          </w:tcPr>
          <w:p w14:paraId="5596BC25">
            <w:pPr>
              <w:pStyle w:val="8"/>
              <w:pageBreakBefore w:val="0"/>
              <w:kinsoku/>
              <w:wordWrap/>
              <w:overflowPunct/>
              <w:topLinePunct w:val="0"/>
              <w:autoSpaceDE/>
              <w:autoSpaceDN/>
              <w:bidi w:val="0"/>
              <w:spacing w:line="360" w:lineRule="auto"/>
              <w:ind w:left="0" w:leftChars="0" w:firstLine="0" w:firstLineChars="0"/>
              <w:jc w:val="center"/>
              <w:outlineLvl w:val="9"/>
              <w:rPr>
                <w:rFonts w:hint="eastAsia" w:ascii="黑体" w:hAnsi="黑体" w:eastAsia="黑体" w:cs="黑体"/>
                <w:b/>
                <w:bCs w:val="0"/>
                <w:color w:val="000000" w:themeColor="text1"/>
                <w:kern w:val="44"/>
                <w:sz w:val="22"/>
                <w:szCs w:val="22"/>
                <w:highlight w:val="none"/>
                <w:vertAlign w:val="baseline"/>
                <w:lang w:val="en-US" w:eastAsia="zh-CN"/>
                <w14:textFill>
                  <w14:solidFill>
                    <w14:schemeClr w14:val="tx1"/>
                  </w14:solidFill>
                </w14:textFill>
              </w:rPr>
            </w:pPr>
            <w:r>
              <w:rPr>
                <w:rFonts w:hint="eastAsia" w:ascii="黑体" w:hAnsi="黑体" w:eastAsia="黑体" w:cs="黑体"/>
                <w:b/>
                <w:bCs w:val="0"/>
                <w:color w:val="000000" w:themeColor="text1"/>
                <w:kern w:val="44"/>
                <w:sz w:val="22"/>
                <w:szCs w:val="22"/>
                <w:highlight w:val="none"/>
                <w:vertAlign w:val="baseline"/>
                <w:lang w:val="en-US" w:eastAsia="zh-CN"/>
                <w14:textFill>
                  <w14:solidFill>
                    <w14:schemeClr w14:val="tx1"/>
                  </w14:solidFill>
                </w14:textFill>
              </w:rPr>
              <w:t>层站</w:t>
            </w:r>
          </w:p>
        </w:tc>
        <w:tc>
          <w:tcPr>
            <w:tcW w:w="1160" w:type="dxa"/>
            <w:vAlign w:val="center"/>
          </w:tcPr>
          <w:p w14:paraId="04F2DA99">
            <w:pPr>
              <w:pStyle w:val="8"/>
              <w:pageBreakBefore w:val="0"/>
              <w:kinsoku/>
              <w:wordWrap/>
              <w:overflowPunct/>
              <w:topLinePunct w:val="0"/>
              <w:autoSpaceDE/>
              <w:autoSpaceDN/>
              <w:bidi w:val="0"/>
              <w:spacing w:line="360" w:lineRule="auto"/>
              <w:ind w:left="0" w:leftChars="0" w:firstLine="0" w:firstLineChars="0"/>
              <w:jc w:val="center"/>
              <w:outlineLvl w:val="9"/>
              <w:rPr>
                <w:rFonts w:hint="eastAsia" w:ascii="黑体" w:hAnsi="黑体" w:eastAsia="黑体" w:cs="黑体"/>
                <w:b/>
                <w:bCs w:val="0"/>
                <w:color w:val="000000" w:themeColor="text1"/>
                <w:kern w:val="44"/>
                <w:sz w:val="22"/>
                <w:szCs w:val="22"/>
                <w:highlight w:val="none"/>
                <w:vertAlign w:val="baseline"/>
                <w:lang w:val="en-US" w:eastAsia="zh-CN"/>
                <w14:textFill>
                  <w14:solidFill>
                    <w14:schemeClr w14:val="tx1"/>
                  </w14:solidFill>
                </w14:textFill>
              </w:rPr>
            </w:pPr>
            <w:r>
              <w:rPr>
                <w:rFonts w:hint="eastAsia" w:ascii="黑体" w:hAnsi="黑体" w:eastAsia="黑体" w:cs="黑体"/>
                <w:b/>
                <w:bCs w:val="0"/>
                <w:color w:val="000000" w:themeColor="text1"/>
                <w:kern w:val="44"/>
                <w:sz w:val="22"/>
                <w:szCs w:val="22"/>
                <w:highlight w:val="none"/>
                <w:vertAlign w:val="baseline"/>
                <w:lang w:val="en-US" w:eastAsia="zh-CN"/>
                <w14:textFill>
                  <w14:solidFill>
                    <w14:schemeClr w14:val="tx1"/>
                  </w14:solidFill>
                </w14:textFill>
              </w:rPr>
              <w:t>数量</w:t>
            </w:r>
          </w:p>
        </w:tc>
      </w:tr>
      <w:tr w14:paraId="1CFEB3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70" w:type="dxa"/>
            <w:vAlign w:val="center"/>
          </w:tcPr>
          <w:p w14:paraId="59F59D1E">
            <w:pPr>
              <w:pStyle w:val="8"/>
              <w:pageBreakBefore w:val="0"/>
              <w:kinsoku/>
              <w:wordWrap/>
              <w:overflowPunct/>
              <w:topLinePunct w:val="0"/>
              <w:autoSpaceDE/>
              <w:autoSpaceDN/>
              <w:bidi w:val="0"/>
              <w:spacing w:line="360" w:lineRule="auto"/>
              <w:ind w:left="0" w:leftChars="0" w:firstLine="0" w:firstLineChars="0"/>
              <w:jc w:val="center"/>
              <w:outlineLvl w:val="9"/>
              <w:rPr>
                <w:rFonts w:hint="eastAsia" w:ascii="黑体" w:hAnsi="黑体" w:eastAsia="黑体" w:cs="黑体"/>
                <w:b w:val="0"/>
                <w:bCs/>
                <w:color w:val="000000" w:themeColor="text1"/>
                <w:kern w:val="44"/>
                <w:sz w:val="22"/>
                <w:szCs w:val="22"/>
                <w:highlight w:val="none"/>
                <w:vertAlign w:val="baseline"/>
                <w:lang w:val="en-US" w:eastAsia="zh-CN"/>
                <w14:textFill>
                  <w14:solidFill>
                    <w14:schemeClr w14:val="tx1"/>
                  </w14:solidFill>
                </w14:textFill>
              </w:rPr>
            </w:pPr>
            <w:r>
              <w:rPr>
                <w:rFonts w:hint="eastAsia" w:ascii="黑体" w:hAnsi="黑体" w:eastAsia="黑体" w:cs="黑体"/>
                <w:b w:val="0"/>
                <w:bCs/>
                <w:color w:val="000000" w:themeColor="text1"/>
                <w:kern w:val="44"/>
                <w:sz w:val="22"/>
                <w:szCs w:val="22"/>
                <w:highlight w:val="none"/>
                <w:vertAlign w:val="baseline"/>
                <w:lang w:val="en-US" w:eastAsia="zh-CN"/>
                <w14:textFill>
                  <w14:solidFill>
                    <w14:schemeClr w14:val="tx1"/>
                  </w14:solidFill>
                </w14:textFill>
              </w:rPr>
              <w:t>1＃</w:t>
            </w:r>
          </w:p>
        </w:tc>
        <w:tc>
          <w:tcPr>
            <w:tcW w:w="1570" w:type="dxa"/>
            <w:vAlign w:val="center"/>
          </w:tcPr>
          <w:p w14:paraId="62C10A18">
            <w:pPr>
              <w:pStyle w:val="8"/>
              <w:pageBreakBefore w:val="0"/>
              <w:kinsoku/>
              <w:wordWrap/>
              <w:overflowPunct/>
              <w:topLinePunct w:val="0"/>
              <w:autoSpaceDE/>
              <w:autoSpaceDN/>
              <w:bidi w:val="0"/>
              <w:spacing w:line="360" w:lineRule="auto"/>
              <w:ind w:left="0" w:leftChars="0" w:firstLine="0" w:firstLineChars="0"/>
              <w:jc w:val="center"/>
              <w:outlineLvl w:val="9"/>
              <w:rPr>
                <w:rFonts w:hint="eastAsia" w:ascii="黑体" w:hAnsi="黑体" w:eastAsia="黑体" w:cs="黑体"/>
                <w:b w:val="0"/>
                <w:bCs/>
                <w:color w:val="000000" w:themeColor="text1"/>
                <w:kern w:val="44"/>
                <w:sz w:val="22"/>
                <w:szCs w:val="22"/>
                <w:highlight w:val="none"/>
                <w:vertAlign w:val="baseline"/>
                <w:lang w:val="en-US" w:eastAsia="zh-CN"/>
                <w14:textFill>
                  <w14:solidFill>
                    <w14:schemeClr w14:val="tx1"/>
                  </w14:solidFill>
                </w14:textFill>
              </w:rPr>
            </w:pPr>
            <w:r>
              <w:rPr>
                <w:rFonts w:hint="eastAsia" w:ascii="黑体" w:hAnsi="黑体" w:eastAsia="黑体" w:cs="黑体"/>
                <w:b w:val="0"/>
                <w:bCs/>
                <w:color w:val="000000" w:themeColor="text1"/>
                <w:kern w:val="44"/>
                <w:sz w:val="22"/>
                <w:szCs w:val="22"/>
                <w:highlight w:val="none"/>
                <w:vertAlign w:val="baseline"/>
                <w:lang w:val="en-US" w:eastAsia="zh-CN"/>
                <w14:textFill>
                  <w14:solidFill>
                    <w14:schemeClr w14:val="tx1"/>
                  </w14:solidFill>
                </w14:textFill>
              </w:rPr>
              <w:t>乘客电梯</w:t>
            </w:r>
          </w:p>
        </w:tc>
        <w:tc>
          <w:tcPr>
            <w:tcW w:w="1570" w:type="dxa"/>
            <w:vAlign w:val="center"/>
          </w:tcPr>
          <w:p w14:paraId="643F6436">
            <w:pPr>
              <w:pStyle w:val="8"/>
              <w:pageBreakBefore w:val="0"/>
              <w:kinsoku/>
              <w:wordWrap/>
              <w:overflowPunct/>
              <w:topLinePunct w:val="0"/>
              <w:autoSpaceDE/>
              <w:autoSpaceDN/>
              <w:bidi w:val="0"/>
              <w:spacing w:line="360" w:lineRule="auto"/>
              <w:ind w:left="0" w:leftChars="0" w:firstLine="0" w:firstLineChars="0"/>
              <w:jc w:val="center"/>
              <w:outlineLvl w:val="9"/>
              <w:rPr>
                <w:rFonts w:hint="eastAsia" w:ascii="黑体" w:hAnsi="黑体" w:eastAsia="黑体" w:cs="黑体"/>
                <w:b w:val="0"/>
                <w:bCs/>
                <w:color w:val="000000" w:themeColor="text1"/>
                <w:kern w:val="44"/>
                <w:sz w:val="22"/>
                <w:szCs w:val="22"/>
                <w:highlight w:val="none"/>
                <w:vertAlign w:val="baseline"/>
                <w:lang w:val="en-US" w:eastAsia="zh-CN"/>
                <w14:textFill>
                  <w14:solidFill>
                    <w14:schemeClr w14:val="tx1"/>
                  </w14:solidFill>
                </w14:textFill>
              </w:rPr>
            </w:pPr>
            <w:r>
              <w:rPr>
                <w:rFonts w:hint="eastAsia" w:ascii="黑体" w:hAnsi="黑体" w:eastAsia="黑体" w:cs="黑体"/>
                <w:b w:val="0"/>
                <w:bCs/>
                <w:color w:val="000000" w:themeColor="text1"/>
                <w:kern w:val="44"/>
                <w:sz w:val="22"/>
                <w:szCs w:val="22"/>
                <w:highlight w:val="none"/>
                <w:vertAlign w:val="baseline"/>
                <w:lang w:val="en-US" w:eastAsia="zh-CN"/>
                <w14:textFill>
                  <w14:solidFill>
                    <w14:schemeClr w14:val="tx1"/>
                  </w14:solidFill>
                </w14:textFill>
              </w:rPr>
              <w:t>1000kg</w:t>
            </w:r>
          </w:p>
        </w:tc>
        <w:tc>
          <w:tcPr>
            <w:tcW w:w="1571" w:type="dxa"/>
            <w:vAlign w:val="center"/>
          </w:tcPr>
          <w:p w14:paraId="66F9E04F">
            <w:pPr>
              <w:pStyle w:val="8"/>
              <w:pageBreakBefore w:val="0"/>
              <w:kinsoku/>
              <w:wordWrap/>
              <w:overflowPunct/>
              <w:topLinePunct w:val="0"/>
              <w:autoSpaceDE/>
              <w:autoSpaceDN/>
              <w:bidi w:val="0"/>
              <w:spacing w:line="360" w:lineRule="auto"/>
              <w:ind w:left="0" w:leftChars="0" w:firstLine="0" w:firstLineChars="0"/>
              <w:jc w:val="center"/>
              <w:outlineLvl w:val="9"/>
              <w:rPr>
                <w:rFonts w:hint="eastAsia" w:ascii="黑体" w:hAnsi="黑体" w:eastAsia="黑体" w:cs="黑体"/>
                <w:b w:val="0"/>
                <w:bCs/>
                <w:color w:val="000000" w:themeColor="text1"/>
                <w:kern w:val="44"/>
                <w:sz w:val="22"/>
                <w:szCs w:val="22"/>
                <w:highlight w:val="none"/>
                <w:vertAlign w:val="baseline"/>
                <w:lang w:val="en-US" w:eastAsia="zh-CN"/>
                <w14:textFill>
                  <w14:solidFill>
                    <w14:schemeClr w14:val="tx1"/>
                  </w14:solidFill>
                </w14:textFill>
              </w:rPr>
            </w:pPr>
            <w:r>
              <w:rPr>
                <w:rFonts w:hint="eastAsia" w:ascii="黑体" w:hAnsi="黑体" w:eastAsia="黑体" w:cs="黑体"/>
                <w:b w:val="0"/>
                <w:bCs/>
                <w:color w:val="000000" w:themeColor="text1"/>
                <w:kern w:val="44"/>
                <w:sz w:val="22"/>
                <w:szCs w:val="22"/>
                <w:highlight w:val="none"/>
                <w:vertAlign w:val="baseline"/>
                <w:lang w:val="en-US" w:eastAsia="zh-CN"/>
                <w14:textFill>
                  <w14:solidFill>
                    <w14:schemeClr w14:val="tx1"/>
                  </w14:solidFill>
                </w14:textFill>
              </w:rPr>
              <w:t>2.0m/s</w:t>
            </w:r>
          </w:p>
        </w:tc>
        <w:tc>
          <w:tcPr>
            <w:tcW w:w="1982" w:type="dxa"/>
            <w:vAlign w:val="center"/>
          </w:tcPr>
          <w:p w14:paraId="08EB3F8B">
            <w:pPr>
              <w:pStyle w:val="8"/>
              <w:pageBreakBefore w:val="0"/>
              <w:kinsoku/>
              <w:wordWrap/>
              <w:overflowPunct/>
              <w:topLinePunct w:val="0"/>
              <w:autoSpaceDE/>
              <w:autoSpaceDN/>
              <w:bidi w:val="0"/>
              <w:spacing w:line="360" w:lineRule="auto"/>
              <w:ind w:left="0" w:leftChars="0" w:firstLine="0" w:firstLineChars="0"/>
              <w:jc w:val="center"/>
              <w:outlineLvl w:val="9"/>
              <w:rPr>
                <w:rFonts w:hint="eastAsia" w:ascii="黑体" w:hAnsi="黑体" w:eastAsia="黑体" w:cs="黑体"/>
                <w:b w:val="0"/>
                <w:bCs/>
                <w:color w:val="000000" w:themeColor="text1"/>
                <w:kern w:val="44"/>
                <w:sz w:val="22"/>
                <w:szCs w:val="22"/>
                <w:highlight w:val="none"/>
                <w:vertAlign w:val="baseline"/>
                <w:lang w:val="en-US" w:eastAsia="zh-CN"/>
                <w14:textFill>
                  <w14:solidFill>
                    <w14:schemeClr w14:val="tx1"/>
                  </w14:solidFill>
                </w14:textFill>
              </w:rPr>
            </w:pPr>
            <w:r>
              <w:rPr>
                <w:rFonts w:hint="eastAsia" w:ascii="黑体" w:hAnsi="黑体" w:eastAsia="黑体" w:cs="黑体"/>
                <w:b w:val="0"/>
                <w:bCs/>
                <w:color w:val="000000" w:themeColor="text1"/>
                <w:kern w:val="44"/>
                <w:sz w:val="22"/>
                <w:szCs w:val="22"/>
                <w:highlight w:val="none"/>
                <w:vertAlign w:val="baseline"/>
                <w:lang w:val="en-US" w:eastAsia="zh-CN"/>
                <w14:textFill>
                  <w14:solidFill>
                    <w14:schemeClr w14:val="tx1"/>
                  </w14:solidFill>
                </w14:textFill>
              </w:rPr>
              <w:t>20</w:t>
            </w:r>
          </w:p>
        </w:tc>
        <w:tc>
          <w:tcPr>
            <w:tcW w:w="1160" w:type="dxa"/>
            <w:vAlign w:val="center"/>
          </w:tcPr>
          <w:p w14:paraId="7C4F96DE">
            <w:pPr>
              <w:pStyle w:val="8"/>
              <w:pageBreakBefore w:val="0"/>
              <w:kinsoku/>
              <w:wordWrap/>
              <w:overflowPunct/>
              <w:topLinePunct w:val="0"/>
              <w:autoSpaceDE/>
              <w:autoSpaceDN/>
              <w:bidi w:val="0"/>
              <w:spacing w:line="360" w:lineRule="auto"/>
              <w:ind w:left="0" w:leftChars="0" w:firstLine="0" w:firstLineChars="0"/>
              <w:jc w:val="center"/>
              <w:outlineLvl w:val="9"/>
              <w:rPr>
                <w:rFonts w:hint="eastAsia" w:ascii="黑体" w:hAnsi="黑体" w:eastAsia="黑体" w:cs="黑体"/>
                <w:b w:val="0"/>
                <w:bCs/>
                <w:color w:val="000000" w:themeColor="text1"/>
                <w:kern w:val="44"/>
                <w:sz w:val="22"/>
                <w:szCs w:val="22"/>
                <w:highlight w:val="none"/>
                <w:vertAlign w:val="baseline"/>
                <w:lang w:val="en-US" w:eastAsia="zh-CN"/>
                <w14:textFill>
                  <w14:solidFill>
                    <w14:schemeClr w14:val="tx1"/>
                  </w14:solidFill>
                </w14:textFill>
              </w:rPr>
            </w:pPr>
            <w:r>
              <w:rPr>
                <w:rFonts w:hint="eastAsia" w:ascii="黑体" w:hAnsi="黑体" w:eastAsia="黑体" w:cs="黑体"/>
                <w:b w:val="0"/>
                <w:bCs/>
                <w:color w:val="000000" w:themeColor="text1"/>
                <w:kern w:val="44"/>
                <w:sz w:val="22"/>
                <w:szCs w:val="22"/>
                <w:highlight w:val="none"/>
                <w:vertAlign w:val="baseline"/>
                <w:lang w:val="en-US" w:eastAsia="zh-CN"/>
                <w14:textFill>
                  <w14:solidFill>
                    <w14:schemeClr w14:val="tx1"/>
                  </w14:solidFill>
                </w14:textFill>
              </w:rPr>
              <w:t>1台</w:t>
            </w:r>
          </w:p>
        </w:tc>
      </w:tr>
      <w:tr w14:paraId="049E9F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70" w:type="dxa"/>
            <w:vAlign w:val="center"/>
          </w:tcPr>
          <w:p w14:paraId="1163A8C9">
            <w:pPr>
              <w:pStyle w:val="8"/>
              <w:pageBreakBefore w:val="0"/>
              <w:kinsoku/>
              <w:wordWrap/>
              <w:overflowPunct/>
              <w:topLinePunct w:val="0"/>
              <w:autoSpaceDE/>
              <w:autoSpaceDN/>
              <w:bidi w:val="0"/>
              <w:spacing w:line="360" w:lineRule="auto"/>
              <w:ind w:left="0" w:leftChars="0" w:firstLine="0" w:firstLineChars="0"/>
              <w:jc w:val="center"/>
              <w:outlineLvl w:val="9"/>
              <w:rPr>
                <w:rFonts w:hint="eastAsia" w:ascii="黑体" w:hAnsi="黑体" w:eastAsia="黑体" w:cs="黑体"/>
                <w:b w:val="0"/>
                <w:bCs/>
                <w:color w:val="000000" w:themeColor="text1"/>
                <w:kern w:val="44"/>
                <w:sz w:val="22"/>
                <w:szCs w:val="22"/>
                <w:highlight w:val="none"/>
                <w:vertAlign w:val="baseline"/>
                <w:lang w:val="en-US" w:eastAsia="zh-CN"/>
                <w14:textFill>
                  <w14:solidFill>
                    <w14:schemeClr w14:val="tx1"/>
                  </w14:solidFill>
                </w14:textFill>
              </w:rPr>
            </w:pPr>
            <w:r>
              <w:rPr>
                <w:rFonts w:hint="eastAsia" w:ascii="黑体" w:hAnsi="黑体" w:eastAsia="黑体" w:cs="黑体"/>
                <w:b w:val="0"/>
                <w:bCs/>
                <w:color w:val="000000" w:themeColor="text1"/>
                <w:kern w:val="44"/>
                <w:sz w:val="22"/>
                <w:szCs w:val="22"/>
                <w:highlight w:val="none"/>
                <w:vertAlign w:val="baseline"/>
                <w:lang w:val="en-US" w:eastAsia="zh-CN"/>
                <w14:textFill>
                  <w14:solidFill>
                    <w14:schemeClr w14:val="tx1"/>
                  </w14:solidFill>
                </w14:textFill>
              </w:rPr>
              <w:t>2＃</w:t>
            </w:r>
          </w:p>
        </w:tc>
        <w:tc>
          <w:tcPr>
            <w:tcW w:w="1570" w:type="dxa"/>
            <w:vAlign w:val="center"/>
          </w:tcPr>
          <w:p w14:paraId="49F69F89">
            <w:pPr>
              <w:pStyle w:val="8"/>
              <w:pageBreakBefore w:val="0"/>
              <w:kinsoku/>
              <w:wordWrap/>
              <w:overflowPunct/>
              <w:topLinePunct w:val="0"/>
              <w:autoSpaceDE/>
              <w:autoSpaceDN/>
              <w:bidi w:val="0"/>
              <w:spacing w:line="360" w:lineRule="auto"/>
              <w:ind w:left="0" w:leftChars="0" w:firstLine="0" w:firstLineChars="0"/>
              <w:jc w:val="center"/>
              <w:outlineLvl w:val="9"/>
              <w:rPr>
                <w:rFonts w:hint="eastAsia" w:ascii="黑体" w:hAnsi="黑体" w:eastAsia="黑体" w:cs="黑体"/>
                <w:b w:val="0"/>
                <w:bCs/>
                <w:color w:val="000000" w:themeColor="text1"/>
                <w:kern w:val="44"/>
                <w:sz w:val="22"/>
                <w:szCs w:val="22"/>
                <w:highlight w:val="none"/>
                <w:vertAlign w:val="baseline"/>
                <w:lang w:val="en-US" w:eastAsia="zh-CN"/>
                <w14:textFill>
                  <w14:solidFill>
                    <w14:schemeClr w14:val="tx1"/>
                  </w14:solidFill>
                </w14:textFill>
              </w:rPr>
            </w:pPr>
            <w:r>
              <w:rPr>
                <w:rFonts w:hint="eastAsia" w:ascii="黑体" w:hAnsi="黑体" w:eastAsia="黑体" w:cs="黑体"/>
                <w:b w:val="0"/>
                <w:bCs/>
                <w:color w:val="000000" w:themeColor="text1"/>
                <w:kern w:val="44"/>
                <w:sz w:val="22"/>
                <w:szCs w:val="22"/>
                <w:highlight w:val="none"/>
                <w:vertAlign w:val="baseline"/>
                <w:lang w:val="en-US" w:eastAsia="zh-CN"/>
                <w14:textFill>
                  <w14:solidFill>
                    <w14:schemeClr w14:val="tx1"/>
                  </w14:solidFill>
                </w14:textFill>
              </w:rPr>
              <w:t>乘客电梯</w:t>
            </w:r>
          </w:p>
        </w:tc>
        <w:tc>
          <w:tcPr>
            <w:tcW w:w="1570" w:type="dxa"/>
            <w:vAlign w:val="center"/>
          </w:tcPr>
          <w:p w14:paraId="143D57AF">
            <w:pPr>
              <w:pStyle w:val="8"/>
              <w:pageBreakBefore w:val="0"/>
              <w:kinsoku/>
              <w:wordWrap/>
              <w:overflowPunct/>
              <w:topLinePunct w:val="0"/>
              <w:autoSpaceDE/>
              <w:autoSpaceDN/>
              <w:bidi w:val="0"/>
              <w:spacing w:line="360" w:lineRule="auto"/>
              <w:ind w:left="0" w:leftChars="0" w:firstLine="0" w:firstLineChars="0"/>
              <w:jc w:val="center"/>
              <w:outlineLvl w:val="9"/>
              <w:rPr>
                <w:rFonts w:hint="eastAsia" w:ascii="黑体" w:hAnsi="黑体" w:eastAsia="黑体" w:cs="黑体"/>
                <w:b w:val="0"/>
                <w:bCs/>
                <w:color w:val="000000" w:themeColor="text1"/>
                <w:kern w:val="44"/>
                <w:sz w:val="22"/>
                <w:szCs w:val="22"/>
                <w:highlight w:val="none"/>
                <w:vertAlign w:val="baseline"/>
                <w:lang w:val="en-US" w:eastAsia="zh-CN"/>
                <w14:textFill>
                  <w14:solidFill>
                    <w14:schemeClr w14:val="tx1"/>
                  </w14:solidFill>
                </w14:textFill>
              </w:rPr>
            </w:pPr>
            <w:r>
              <w:rPr>
                <w:rFonts w:hint="eastAsia" w:ascii="黑体" w:hAnsi="黑体" w:eastAsia="黑体" w:cs="黑体"/>
                <w:b w:val="0"/>
                <w:bCs/>
                <w:color w:val="000000" w:themeColor="text1"/>
                <w:kern w:val="44"/>
                <w:sz w:val="22"/>
                <w:szCs w:val="22"/>
                <w:highlight w:val="none"/>
                <w:vertAlign w:val="baseline"/>
                <w:lang w:val="en-US" w:eastAsia="zh-CN"/>
                <w14:textFill>
                  <w14:solidFill>
                    <w14:schemeClr w14:val="tx1"/>
                  </w14:solidFill>
                </w14:textFill>
              </w:rPr>
              <w:t>1000kg</w:t>
            </w:r>
          </w:p>
        </w:tc>
        <w:tc>
          <w:tcPr>
            <w:tcW w:w="1571" w:type="dxa"/>
            <w:vAlign w:val="center"/>
          </w:tcPr>
          <w:p w14:paraId="5DC64D12">
            <w:pPr>
              <w:pStyle w:val="8"/>
              <w:pageBreakBefore w:val="0"/>
              <w:kinsoku/>
              <w:wordWrap/>
              <w:overflowPunct/>
              <w:topLinePunct w:val="0"/>
              <w:autoSpaceDE/>
              <w:autoSpaceDN/>
              <w:bidi w:val="0"/>
              <w:spacing w:line="360" w:lineRule="auto"/>
              <w:ind w:left="0" w:leftChars="0" w:firstLine="0" w:firstLineChars="0"/>
              <w:jc w:val="center"/>
              <w:outlineLvl w:val="9"/>
              <w:rPr>
                <w:rFonts w:hint="eastAsia" w:ascii="黑体" w:hAnsi="黑体" w:eastAsia="黑体" w:cs="黑体"/>
                <w:b w:val="0"/>
                <w:bCs/>
                <w:color w:val="000000" w:themeColor="text1"/>
                <w:kern w:val="44"/>
                <w:sz w:val="22"/>
                <w:szCs w:val="22"/>
                <w:highlight w:val="none"/>
                <w:vertAlign w:val="baseline"/>
                <w:lang w:val="en-US" w:eastAsia="zh-CN"/>
                <w14:textFill>
                  <w14:solidFill>
                    <w14:schemeClr w14:val="tx1"/>
                  </w14:solidFill>
                </w14:textFill>
              </w:rPr>
            </w:pPr>
            <w:r>
              <w:rPr>
                <w:rFonts w:hint="eastAsia" w:ascii="黑体" w:hAnsi="黑体" w:eastAsia="黑体" w:cs="黑体"/>
                <w:b w:val="0"/>
                <w:bCs/>
                <w:color w:val="000000" w:themeColor="text1"/>
                <w:kern w:val="44"/>
                <w:sz w:val="22"/>
                <w:szCs w:val="22"/>
                <w:highlight w:val="none"/>
                <w:vertAlign w:val="baseline"/>
                <w:lang w:val="en-US" w:eastAsia="zh-CN"/>
                <w14:textFill>
                  <w14:solidFill>
                    <w14:schemeClr w14:val="tx1"/>
                  </w14:solidFill>
                </w14:textFill>
              </w:rPr>
              <w:t>2.0m/s</w:t>
            </w:r>
          </w:p>
        </w:tc>
        <w:tc>
          <w:tcPr>
            <w:tcW w:w="1982" w:type="dxa"/>
            <w:vAlign w:val="center"/>
          </w:tcPr>
          <w:p w14:paraId="1386C3B1">
            <w:pPr>
              <w:pStyle w:val="8"/>
              <w:pageBreakBefore w:val="0"/>
              <w:kinsoku/>
              <w:wordWrap/>
              <w:overflowPunct/>
              <w:topLinePunct w:val="0"/>
              <w:autoSpaceDE/>
              <w:autoSpaceDN/>
              <w:bidi w:val="0"/>
              <w:spacing w:line="360" w:lineRule="auto"/>
              <w:ind w:left="0" w:leftChars="0" w:firstLine="0" w:firstLineChars="0"/>
              <w:jc w:val="center"/>
              <w:outlineLvl w:val="9"/>
              <w:rPr>
                <w:rFonts w:hint="eastAsia" w:ascii="黑体" w:hAnsi="黑体" w:eastAsia="黑体" w:cs="黑体"/>
                <w:b w:val="0"/>
                <w:bCs/>
                <w:color w:val="000000" w:themeColor="text1"/>
                <w:kern w:val="44"/>
                <w:sz w:val="22"/>
                <w:szCs w:val="22"/>
                <w:highlight w:val="none"/>
                <w:vertAlign w:val="baseline"/>
                <w:lang w:val="en-US" w:eastAsia="zh-CN"/>
                <w14:textFill>
                  <w14:solidFill>
                    <w14:schemeClr w14:val="tx1"/>
                  </w14:solidFill>
                </w14:textFill>
              </w:rPr>
            </w:pPr>
            <w:r>
              <w:rPr>
                <w:rFonts w:hint="eastAsia" w:ascii="黑体" w:hAnsi="黑体" w:eastAsia="黑体" w:cs="黑体"/>
                <w:b w:val="0"/>
                <w:bCs/>
                <w:color w:val="000000" w:themeColor="text1"/>
                <w:kern w:val="44"/>
                <w:sz w:val="22"/>
                <w:szCs w:val="22"/>
                <w:highlight w:val="none"/>
                <w:vertAlign w:val="baseline"/>
                <w:lang w:val="en-US" w:eastAsia="zh-CN"/>
                <w14:textFill>
                  <w14:solidFill>
                    <w14:schemeClr w14:val="tx1"/>
                  </w14:solidFill>
                </w14:textFill>
              </w:rPr>
              <w:t>19</w:t>
            </w:r>
          </w:p>
        </w:tc>
        <w:tc>
          <w:tcPr>
            <w:tcW w:w="1160" w:type="dxa"/>
            <w:vAlign w:val="center"/>
          </w:tcPr>
          <w:p w14:paraId="5AAD46C1">
            <w:pPr>
              <w:pStyle w:val="8"/>
              <w:pageBreakBefore w:val="0"/>
              <w:kinsoku/>
              <w:wordWrap/>
              <w:overflowPunct/>
              <w:topLinePunct w:val="0"/>
              <w:autoSpaceDE/>
              <w:autoSpaceDN/>
              <w:bidi w:val="0"/>
              <w:spacing w:line="360" w:lineRule="auto"/>
              <w:ind w:left="0" w:leftChars="0" w:firstLine="0" w:firstLineChars="0"/>
              <w:jc w:val="center"/>
              <w:outlineLvl w:val="9"/>
              <w:rPr>
                <w:rFonts w:hint="eastAsia" w:ascii="黑体" w:hAnsi="黑体" w:eastAsia="黑体" w:cs="黑体"/>
                <w:b w:val="0"/>
                <w:bCs/>
                <w:color w:val="000000" w:themeColor="text1"/>
                <w:kern w:val="44"/>
                <w:sz w:val="22"/>
                <w:szCs w:val="22"/>
                <w:highlight w:val="none"/>
                <w:vertAlign w:val="baseline"/>
                <w:lang w:val="en-US" w:eastAsia="zh-CN"/>
                <w14:textFill>
                  <w14:solidFill>
                    <w14:schemeClr w14:val="tx1"/>
                  </w14:solidFill>
                </w14:textFill>
              </w:rPr>
            </w:pPr>
            <w:r>
              <w:rPr>
                <w:rFonts w:hint="eastAsia" w:ascii="黑体" w:hAnsi="黑体" w:eastAsia="黑体" w:cs="黑体"/>
                <w:b w:val="0"/>
                <w:bCs/>
                <w:color w:val="000000" w:themeColor="text1"/>
                <w:kern w:val="44"/>
                <w:sz w:val="22"/>
                <w:szCs w:val="22"/>
                <w:highlight w:val="none"/>
                <w:vertAlign w:val="baseline"/>
                <w:lang w:val="en-US" w:eastAsia="zh-CN"/>
                <w14:textFill>
                  <w14:solidFill>
                    <w14:schemeClr w14:val="tx1"/>
                  </w14:solidFill>
                </w14:textFill>
              </w:rPr>
              <w:t>1台</w:t>
            </w:r>
          </w:p>
        </w:tc>
      </w:tr>
      <w:tr w14:paraId="07257F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70" w:type="dxa"/>
            <w:vAlign w:val="center"/>
          </w:tcPr>
          <w:p w14:paraId="1082AAAB">
            <w:pPr>
              <w:pStyle w:val="8"/>
              <w:pageBreakBefore w:val="0"/>
              <w:kinsoku/>
              <w:wordWrap/>
              <w:overflowPunct/>
              <w:topLinePunct w:val="0"/>
              <w:autoSpaceDE/>
              <w:autoSpaceDN/>
              <w:bidi w:val="0"/>
              <w:spacing w:line="360" w:lineRule="auto"/>
              <w:ind w:left="0" w:leftChars="0" w:firstLine="0" w:firstLineChars="0"/>
              <w:jc w:val="center"/>
              <w:outlineLvl w:val="9"/>
              <w:rPr>
                <w:rFonts w:hint="eastAsia" w:ascii="黑体" w:hAnsi="黑体" w:eastAsia="黑体" w:cs="黑体"/>
                <w:b w:val="0"/>
                <w:bCs/>
                <w:color w:val="000000" w:themeColor="text1"/>
                <w:kern w:val="44"/>
                <w:sz w:val="22"/>
                <w:szCs w:val="22"/>
                <w:highlight w:val="none"/>
                <w:vertAlign w:val="baseline"/>
                <w:lang w:val="en-US" w:eastAsia="zh-CN"/>
                <w14:textFill>
                  <w14:solidFill>
                    <w14:schemeClr w14:val="tx1"/>
                  </w14:solidFill>
                </w14:textFill>
              </w:rPr>
            </w:pPr>
            <w:r>
              <w:rPr>
                <w:rFonts w:hint="eastAsia" w:ascii="黑体" w:hAnsi="黑体" w:eastAsia="黑体" w:cs="黑体"/>
                <w:b w:val="0"/>
                <w:bCs/>
                <w:color w:val="000000" w:themeColor="text1"/>
                <w:kern w:val="44"/>
                <w:sz w:val="22"/>
                <w:szCs w:val="22"/>
                <w:highlight w:val="none"/>
                <w:vertAlign w:val="baseline"/>
                <w:lang w:val="en-US" w:eastAsia="zh-CN"/>
                <w14:textFill>
                  <w14:solidFill>
                    <w14:schemeClr w14:val="tx1"/>
                  </w14:solidFill>
                </w14:textFill>
              </w:rPr>
              <w:t>3＃</w:t>
            </w:r>
          </w:p>
        </w:tc>
        <w:tc>
          <w:tcPr>
            <w:tcW w:w="1570" w:type="dxa"/>
            <w:vAlign w:val="center"/>
          </w:tcPr>
          <w:p w14:paraId="6208F4CA">
            <w:pPr>
              <w:pStyle w:val="8"/>
              <w:pageBreakBefore w:val="0"/>
              <w:kinsoku/>
              <w:wordWrap/>
              <w:overflowPunct/>
              <w:topLinePunct w:val="0"/>
              <w:autoSpaceDE/>
              <w:autoSpaceDN/>
              <w:bidi w:val="0"/>
              <w:spacing w:line="360" w:lineRule="auto"/>
              <w:ind w:left="0" w:leftChars="0" w:firstLine="0" w:firstLineChars="0"/>
              <w:jc w:val="center"/>
              <w:outlineLvl w:val="9"/>
              <w:rPr>
                <w:rFonts w:hint="eastAsia" w:ascii="黑体" w:hAnsi="黑体" w:eastAsia="黑体" w:cs="黑体"/>
                <w:b w:val="0"/>
                <w:bCs/>
                <w:color w:val="000000" w:themeColor="text1"/>
                <w:kern w:val="44"/>
                <w:sz w:val="22"/>
                <w:szCs w:val="22"/>
                <w:highlight w:val="none"/>
                <w:vertAlign w:val="baseline"/>
                <w:lang w:val="en-US" w:eastAsia="zh-CN"/>
                <w14:textFill>
                  <w14:solidFill>
                    <w14:schemeClr w14:val="tx1"/>
                  </w14:solidFill>
                </w14:textFill>
              </w:rPr>
            </w:pPr>
            <w:r>
              <w:rPr>
                <w:rFonts w:hint="eastAsia" w:ascii="黑体" w:hAnsi="黑体" w:eastAsia="黑体" w:cs="黑体"/>
                <w:b w:val="0"/>
                <w:bCs/>
                <w:color w:val="000000" w:themeColor="text1"/>
                <w:kern w:val="44"/>
                <w:sz w:val="22"/>
                <w:szCs w:val="22"/>
                <w:highlight w:val="none"/>
                <w:vertAlign w:val="baseline"/>
                <w:lang w:val="en-US" w:eastAsia="zh-CN"/>
                <w14:textFill>
                  <w14:solidFill>
                    <w14:schemeClr w14:val="tx1"/>
                  </w14:solidFill>
                </w14:textFill>
              </w:rPr>
              <w:t>乘客电梯</w:t>
            </w:r>
          </w:p>
        </w:tc>
        <w:tc>
          <w:tcPr>
            <w:tcW w:w="1570" w:type="dxa"/>
            <w:vAlign w:val="center"/>
          </w:tcPr>
          <w:p w14:paraId="1F6C028E">
            <w:pPr>
              <w:pStyle w:val="8"/>
              <w:pageBreakBefore w:val="0"/>
              <w:kinsoku/>
              <w:wordWrap/>
              <w:overflowPunct/>
              <w:topLinePunct w:val="0"/>
              <w:autoSpaceDE/>
              <w:autoSpaceDN/>
              <w:bidi w:val="0"/>
              <w:spacing w:line="360" w:lineRule="auto"/>
              <w:ind w:left="0" w:leftChars="0" w:firstLine="0" w:firstLineChars="0"/>
              <w:jc w:val="center"/>
              <w:outlineLvl w:val="9"/>
              <w:rPr>
                <w:rFonts w:hint="eastAsia" w:ascii="黑体" w:hAnsi="黑体" w:eastAsia="黑体" w:cs="黑体"/>
                <w:b w:val="0"/>
                <w:bCs/>
                <w:color w:val="000000" w:themeColor="text1"/>
                <w:kern w:val="44"/>
                <w:sz w:val="22"/>
                <w:szCs w:val="22"/>
                <w:highlight w:val="none"/>
                <w:vertAlign w:val="baseline"/>
                <w:lang w:val="en-US" w:eastAsia="zh-CN"/>
                <w14:textFill>
                  <w14:solidFill>
                    <w14:schemeClr w14:val="tx1"/>
                  </w14:solidFill>
                </w14:textFill>
              </w:rPr>
            </w:pPr>
            <w:r>
              <w:rPr>
                <w:rFonts w:hint="eastAsia" w:ascii="黑体" w:hAnsi="黑体" w:eastAsia="黑体" w:cs="黑体"/>
                <w:b w:val="0"/>
                <w:bCs/>
                <w:color w:val="000000" w:themeColor="text1"/>
                <w:kern w:val="44"/>
                <w:sz w:val="22"/>
                <w:szCs w:val="22"/>
                <w:highlight w:val="none"/>
                <w:vertAlign w:val="baseline"/>
                <w:lang w:val="en-US" w:eastAsia="zh-CN"/>
                <w14:textFill>
                  <w14:solidFill>
                    <w14:schemeClr w14:val="tx1"/>
                  </w14:solidFill>
                </w14:textFill>
              </w:rPr>
              <w:t>1000kg</w:t>
            </w:r>
          </w:p>
        </w:tc>
        <w:tc>
          <w:tcPr>
            <w:tcW w:w="1571" w:type="dxa"/>
            <w:vAlign w:val="center"/>
          </w:tcPr>
          <w:p w14:paraId="735DBC3F">
            <w:pPr>
              <w:pStyle w:val="8"/>
              <w:pageBreakBefore w:val="0"/>
              <w:kinsoku/>
              <w:wordWrap/>
              <w:overflowPunct/>
              <w:topLinePunct w:val="0"/>
              <w:autoSpaceDE/>
              <w:autoSpaceDN/>
              <w:bidi w:val="0"/>
              <w:spacing w:line="360" w:lineRule="auto"/>
              <w:ind w:left="0" w:leftChars="0" w:firstLine="0" w:firstLineChars="0"/>
              <w:jc w:val="center"/>
              <w:outlineLvl w:val="9"/>
              <w:rPr>
                <w:rFonts w:hint="eastAsia" w:ascii="黑体" w:hAnsi="黑体" w:eastAsia="黑体" w:cs="黑体"/>
                <w:b w:val="0"/>
                <w:bCs/>
                <w:color w:val="000000" w:themeColor="text1"/>
                <w:kern w:val="44"/>
                <w:sz w:val="22"/>
                <w:szCs w:val="22"/>
                <w:highlight w:val="none"/>
                <w:vertAlign w:val="baseline"/>
                <w:lang w:val="en-US" w:eastAsia="zh-CN"/>
                <w14:textFill>
                  <w14:solidFill>
                    <w14:schemeClr w14:val="tx1"/>
                  </w14:solidFill>
                </w14:textFill>
              </w:rPr>
            </w:pPr>
            <w:r>
              <w:rPr>
                <w:rFonts w:hint="eastAsia" w:ascii="黑体" w:hAnsi="黑体" w:eastAsia="黑体" w:cs="黑体"/>
                <w:b w:val="0"/>
                <w:bCs/>
                <w:color w:val="000000" w:themeColor="text1"/>
                <w:kern w:val="44"/>
                <w:sz w:val="22"/>
                <w:szCs w:val="22"/>
                <w:highlight w:val="none"/>
                <w:vertAlign w:val="baseline"/>
                <w:lang w:val="en-US" w:eastAsia="zh-CN"/>
                <w14:textFill>
                  <w14:solidFill>
                    <w14:schemeClr w14:val="tx1"/>
                  </w14:solidFill>
                </w14:textFill>
              </w:rPr>
              <w:t>2.0m/s</w:t>
            </w:r>
          </w:p>
        </w:tc>
        <w:tc>
          <w:tcPr>
            <w:tcW w:w="1982" w:type="dxa"/>
            <w:vAlign w:val="center"/>
          </w:tcPr>
          <w:p w14:paraId="48C8A2DC">
            <w:pPr>
              <w:pStyle w:val="8"/>
              <w:pageBreakBefore w:val="0"/>
              <w:kinsoku/>
              <w:wordWrap/>
              <w:overflowPunct/>
              <w:topLinePunct w:val="0"/>
              <w:autoSpaceDE/>
              <w:autoSpaceDN/>
              <w:bidi w:val="0"/>
              <w:spacing w:line="360" w:lineRule="auto"/>
              <w:ind w:left="0" w:leftChars="0" w:firstLine="0" w:firstLineChars="0"/>
              <w:jc w:val="center"/>
              <w:outlineLvl w:val="9"/>
              <w:rPr>
                <w:rFonts w:hint="eastAsia" w:ascii="黑体" w:hAnsi="黑体" w:eastAsia="黑体" w:cs="黑体"/>
                <w:b w:val="0"/>
                <w:bCs/>
                <w:color w:val="000000" w:themeColor="text1"/>
                <w:kern w:val="44"/>
                <w:sz w:val="22"/>
                <w:szCs w:val="22"/>
                <w:highlight w:val="none"/>
                <w:vertAlign w:val="baseline"/>
                <w:lang w:val="en-US" w:eastAsia="zh-CN"/>
                <w14:textFill>
                  <w14:solidFill>
                    <w14:schemeClr w14:val="tx1"/>
                  </w14:solidFill>
                </w14:textFill>
              </w:rPr>
            </w:pPr>
            <w:r>
              <w:rPr>
                <w:rFonts w:hint="eastAsia" w:ascii="黑体" w:hAnsi="黑体" w:eastAsia="黑体" w:cs="黑体"/>
                <w:b w:val="0"/>
                <w:bCs/>
                <w:color w:val="000000" w:themeColor="text1"/>
                <w:kern w:val="44"/>
                <w:sz w:val="22"/>
                <w:szCs w:val="22"/>
                <w:highlight w:val="none"/>
                <w:vertAlign w:val="baseline"/>
                <w:lang w:val="en-US" w:eastAsia="zh-CN"/>
                <w14:textFill>
                  <w14:solidFill>
                    <w14:schemeClr w14:val="tx1"/>
                  </w14:solidFill>
                </w14:textFill>
              </w:rPr>
              <w:t>19</w:t>
            </w:r>
          </w:p>
        </w:tc>
        <w:tc>
          <w:tcPr>
            <w:tcW w:w="1160" w:type="dxa"/>
            <w:vAlign w:val="center"/>
          </w:tcPr>
          <w:p w14:paraId="520D0CB2">
            <w:pPr>
              <w:pStyle w:val="8"/>
              <w:pageBreakBefore w:val="0"/>
              <w:kinsoku/>
              <w:wordWrap/>
              <w:overflowPunct/>
              <w:topLinePunct w:val="0"/>
              <w:autoSpaceDE/>
              <w:autoSpaceDN/>
              <w:bidi w:val="0"/>
              <w:spacing w:line="360" w:lineRule="auto"/>
              <w:ind w:left="0" w:leftChars="0" w:firstLine="0" w:firstLineChars="0"/>
              <w:jc w:val="center"/>
              <w:outlineLvl w:val="9"/>
              <w:rPr>
                <w:rFonts w:hint="eastAsia" w:ascii="黑体" w:hAnsi="黑体" w:eastAsia="黑体" w:cs="黑体"/>
                <w:b w:val="0"/>
                <w:bCs/>
                <w:color w:val="000000" w:themeColor="text1"/>
                <w:kern w:val="44"/>
                <w:sz w:val="22"/>
                <w:szCs w:val="22"/>
                <w:highlight w:val="none"/>
                <w:vertAlign w:val="baseline"/>
                <w:lang w:val="en-US" w:eastAsia="zh-CN"/>
                <w14:textFill>
                  <w14:solidFill>
                    <w14:schemeClr w14:val="tx1"/>
                  </w14:solidFill>
                </w14:textFill>
              </w:rPr>
            </w:pPr>
            <w:r>
              <w:rPr>
                <w:rFonts w:hint="eastAsia" w:ascii="黑体" w:hAnsi="黑体" w:eastAsia="黑体" w:cs="黑体"/>
                <w:b w:val="0"/>
                <w:bCs/>
                <w:color w:val="000000" w:themeColor="text1"/>
                <w:kern w:val="44"/>
                <w:sz w:val="22"/>
                <w:szCs w:val="22"/>
                <w:highlight w:val="none"/>
                <w:vertAlign w:val="baseline"/>
                <w:lang w:val="en-US" w:eastAsia="zh-CN"/>
                <w14:textFill>
                  <w14:solidFill>
                    <w14:schemeClr w14:val="tx1"/>
                  </w14:solidFill>
                </w14:textFill>
              </w:rPr>
              <w:t>1台</w:t>
            </w:r>
          </w:p>
        </w:tc>
      </w:tr>
      <w:tr w14:paraId="614170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70" w:type="dxa"/>
            <w:vAlign w:val="center"/>
          </w:tcPr>
          <w:p w14:paraId="38BEFE0B">
            <w:pPr>
              <w:pStyle w:val="8"/>
              <w:pageBreakBefore w:val="0"/>
              <w:kinsoku/>
              <w:wordWrap/>
              <w:overflowPunct/>
              <w:topLinePunct w:val="0"/>
              <w:autoSpaceDE/>
              <w:autoSpaceDN/>
              <w:bidi w:val="0"/>
              <w:spacing w:line="360" w:lineRule="auto"/>
              <w:ind w:left="0" w:leftChars="0" w:firstLine="0" w:firstLineChars="0"/>
              <w:jc w:val="center"/>
              <w:outlineLvl w:val="9"/>
              <w:rPr>
                <w:rFonts w:hint="eastAsia" w:ascii="黑体" w:hAnsi="黑体" w:eastAsia="黑体" w:cs="黑体"/>
                <w:b w:val="0"/>
                <w:bCs/>
                <w:color w:val="000000" w:themeColor="text1"/>
                <w:kern w:val="44"/>
                <w:sz w:val="22"/>
                <w:szCs w:val="22"/>
                <w:highlight w:val="none"/>
                <w:vertAlign w:val="baseline"/>
                <w:lang w:val="en-US" w:eastAsia="zh-CN"/>
                <w14:textFill>
                  <w14:solidFill>
                    <w14:schemeClr w14:val="tx1"/>
                  </w14:solidFill>
                </w14:textFill>
              </w:rPr>
            </w:pPr>
            <w:r>
              <w:rPr>
                <w:rFonts w:hint="eastAsia" w:ascii="黑体" w:hAnsi="黑体" w:eastAsia="黑体" w:cs="黑体"/>
                <w:b w:val="0"/>
                <w:bCs/>
                <w:color w:val="000000" w:themeColor="text1"/>
                <w:kern w:val="44"/>
                <w:sz w:val="22"/>
                <w:szCs w:val="22"/>
                <w:highlight w:val="none"/>
                <w:vertAlign w:val="baseline"/>
                <w:lang w:val="en-US" w:eastAsia="zh-CN"/>
                <w14:textFill>
                  <w14:solidFill>
                    <w14:schemeClr w14:val="tx1"/>
                  </w14:solidFill>
                </w14:textFill>
              </w:rPr>
              <w:t>4＃</w:t>
            </w:r>
          </w:p>
        </w:tc>
        <w:tc>
          <w:tcPr>
            <w:tcW w:w="1570" w:type="dxa"/>
            <w:vAlign w:val="center"/>
          </w:tcPr>
          <w:p w14:paraId="2D817F37">
            <w:pPr>
              <w:pStyle w:val="8"/>
              <w:pageBreakBefore w:val="0"/>
              <w:kinsoku/>
              <w:wordWrap/>
              <w:overflowPunct/>
              <w:topLinePunct w:val="0"/>
              <w:autoSpaceDE/>
              <w:autoSpaceDN/>
              <w:bidi w:val="0"/>
              <w:spacing w:line="360" w:lineRule="auto"/>
              <w:ind w:left="0" w:leftChars="0" w:firstLine="0" w:firstLineChars="0"/>
              <w:jc w:val="center"/>
              <w:outlineLvl w:val="9"/>
              <w:rPr>
                <w:rFonts w:hint="eastAsia" w:ascii="黑体" w:hAnsi="黑体" w:eastAsia="黑体" w:cs="黑体"/>
                <w:b w:val="0"/>
                <w:bCs/>
                <w:color w:val="000000" w:themeColor="text1"/>
                <w:kern w:val="44"/>
                <w:sz w:val="22"/>
                <w:szCs w:val="22"/>
                <w:highlight w:val="none"/>
                <w:vertAlign w:val="baseline"/>
                <w:lang w:val="en-US" w:eastAsia="zh-CN"/>
                <w14:textFill>
                  <w14:solidFill>
                    <w14:schemeClr w14:val="tx1"/>
                  </w14:solidFill>
                </w14:textFill>
              </w:rPr>
            </w:pPr>
            <w:r>
              <w:rPr>
                <w:rFonts w:hint="eastAsia" w:ascii="黑体" w:hAnsi="黑体" w:eastAsia="黑体" w:cs="黑体"/>
                <w:b w:val="0"/>
                <w:bCs/>
                <w:color w:val="000000" w:themeColor="text1"/>
                <w:kern w:val="44"/>
                <w:sz w:val="22"/>
                <w:szCs w:val="22"/>
                <w:highlight w:val="none"/>
                <w:vertAlign w:val="baseline"/>
                <w:lang w:val="en-US" w:eastAsia="zh-CN"/>
                <w14:textFill>
                  <w14:solidFill>
                    <w14:schemeClr w14:val="tx1"/>
                  </w14:solidFill>
                </w14:textFill>
              </w:rPr>
              <w:t>乘客电梯</w:t>
            </w:r>
          </w:p>
        </w:tc>
        <w:tc>
          <w:tcPr>
            <w:tcW w:w="1570" w:type="dxa"/>
            <w:vAlign w:val="center"/>
          </w:tcPr>
          <w:p w14:paraId="6F653D35">
            <w:pPr>
              <w:pStyle w:val="8"/>
              <w:pageBreakBefore w:val="0"/>
              <w:kinsoku/>
              <w:wordWrap/>
              <w:overflowPunct/>
              <w:topLinePunct w:val="0"/>
              <w:autoSpaceDE/>
              <w:autoSpaceDN/>
              <w:bidi w:val="0"/>
              <w:spacing w:line="360" w:lineRule="auto"/>
              <w:ind w:left="0" w:leftChars="0" w:firstLine="0" w:firstLineChars="0"/>
              <w:jc w:val="center"/>
              <w:outlineLvl w:val="9"/>
              <w:rPr>
                <w:rFonts w:hint="eastAsia" w:ascii="黑体" w:hAnsi="黑体" w:eastAsia="黑体" w:cs="黑体"/>
                <w:b w:val="0"/>
                <w:bCs/>
                <w:color w:val="000000" w:themeColor="text1"/>
                <w:kern w:val="44"/>
                <w:sz w:val="22"/>
                <w:szCs w:val="22"/>
                <w:highlight w:val="none"/>
                <w:vertAlign w:val="baseline"/>
                <w:lang w:val="en-US" w:eastAsia="zh-CN"/>
                <w14:textFill>
                  <w14:solidFill>
                    <w14:schemeClr w14:val="tx1"/>
                  </w14:solidFill>
                </w14:textFill>
              </w:rPr>
            </w:pPr>
            <w:r>
              <w:rPr>
                <w:rFonts w:hint="eastAsia" w:ascii="黑体" w:hAnsi="黑体" w:eastAsia="黑体" w:cs="黑体"/>
                <w:b w:val="0"/>
                <w:bCs/>
                <w:color w:val="000000" w:themeColor="text1"/>
                <w:kern w:val="44"/>
                <w:sz w:val="22"/>
                <w:szCs w:val="22"/>
                <w:highlight w:val="none"/>
                <w:vertAlign w:val="baseline"/>
                <w:lang w:val="en-US" w:eastAsia="zh-CN"/>
                <w14:textFill>
                  <w14:solidFill>
                    <w14:schemeClr w14:val="tx1"/>
                  </w14:solidFill>
                </w14:textFill>
              </w:rPr>
              <w:t>1000kg</w:t>
            </w:r>
          </w:p>
        </w:tc>
        <w:tc>
          <w:tcPr>
            <w:tcW w:w="1571" w:type="dxa"/>
            <w:vAlign w:val="center"/>
          </w:tcPr>
          <w:p w14:paraId="3C642898">
            <w:pPr>
              <w:pStyle w:val="8"/>
              <w:pageBreakBefore w:val="0"/>
              <w:kinsoku/>
              <w:wordWrap/>
              <w:overflowPunct/>
              <w:topLinePunct w:val="0"/>
              <w:autoSpaceDE/>
              <w:autoSpaceDN/>
              <w:bidi w:val="0"/>
              <w:spacing w:line="360" w:lineRule="auto"/>
              <w:ind w:left="0" w:leftChars="0" w:firstLine="0" w:firstLineChars="0"/>
              <w:jc w:val="center"/>
              <w:outlineLvl w:val="9"/>
              <w:rPr>
                <w:rFonts w:hint="eastAsia" w:ascii="黑体" w:hAnsi="黑体" w:eastAsia="黑体" w:cs="黑体"/>
                <w:b w:val="0"/>
                <w:bCs/>
                <w:color w:val="000000" w:themeColor="text1"/>
                <w:kern w:val="44"/>
                <w:sz w:val="22"/>
                <w:szCs w:val="22"/>
                <w:highlight w:val="none"/>
                <w:vertAlign w:val="baseline"/>
                <w:lang w:val="en-US" w:eastAsia="zh-CN"/>
                <w14:textFill>
                  <w14:solidFill>
                    <w14:schemeClr w14:val="tx1"/>
                  </w14:solidFill>
                </w14:textFill>
              </w:rPr>
            </w:pPr>
            <w:r>
              <w:rPr>
                <w:rFonts w:hint="eastAsia" w:ascii="黑体" w:hAnsi="黑体" w:eastAsia="黑体" w:cs="黑体"/>
                <w:b w:val="0"/>
                <w:bCs/>
                <w:color w:val="000000" w:themeColor="text1"/>
                <w:kern w:val="44"/>
                <w:sz w:val="22"/>
                <w:szCs w:val="22"/>
                <w:highlight w:val="none"/>
                <w:vertAlign w:val="baseline"/>
                <w:lang w:val="en-US" w:eastAsia="zh-CN"/>
                <w14:textFill>
                  <w14:solidFill>
                    <w14:schemeClr w14:val="tx1"/>
                  </w14:solidFill>
                </w14:textFill>
              </w:rPr>
              <w:t>1.75m/s</w:t>
            </w:r>
          </w:p>
        </w:tc>
        <w:tc>
          <w:tcPr>
            <w:tcW w:w="1982" w:type="dxa"/>
            <w:vAlign w:val="center"/>
          </w:tcPr>
          <w:p w14:paraId="3F853DF6">
            <w:pPr>
              <w:pStyle w:val="8"/>
              <w:pageBreakBefore w:val="0"/>
              <w:kinsoku/>
              <w:wordWrap/>
              <w:overflowPunct/>
              <w:topLinePunct w:val="0"/>
              <w:autoSpaceDE/>
              <w:autoSpaceDN/>
              <w:bidi w:val="0"/>
              <w:spacing w:line="360" w:lineRule="auto"/>
              <w:ind w:left="0" w:leftChars="0" w:firstLine="0" w:firstLineChars="0"/>
              <w:jc w:val="center"/>
              <w:outlineLvl w:val="9"/>
              <w:rPr>
                <w:rFonts w:hint="eastAsia" w:ascii="黑体" w:hAnsi="黑体" w:eastAsia="黑体" w:cs="黑体"/>
                <w:b w:val="0"/>
                <w:bCs/>
                <w:color w:val="000000" w:themeColor="text1"/>
                <w:kern w:val="44"/>
                <w:sz w:val="22"/>
                <w:szCs w:val="22"/>
                <w:highlight w:val="none"/>
                <w:vertAlign w:val="baseline"/>
                <w:lang w:val="en-US" w:eastAsia="zh-CN"/>
                <w14:textFill>
                  <w14:solidFill>
                    <w14:schemeClr w14:val="tx1"/>
                  </w14:solidFill>
                </w14:textFill>
              </w:rPr>
            </w:pPr>
            <w:r>
              <w:rPr>
                <w:rFonts w:hint="eastAsia" w:ascii="黑体" w:hAnsi="黑体" w:eastAsia="黑体" w:cs="黑体"/>
                <w:b w:val="0"/>
                <w:bCs/>
                <w:color w:val="000000" w:themeColor="text1"/>
                <w:kern w:val="44"/>
                <w:sz w:val="22"/>
                <w:szCs w:val="22"/>
                <w:highlight w:val="none"/>
                <w:vertAlign w:val="baseline"/>
                <w:lang w:val="en-US" w:eastAsia="zh-CN"/>
                <w14:textFill>
                  <w14:solidFill>
                    <w14:schemeClr w14:val="tx1"/>
                  </w14:solidFill>
                </w14:textFill>
              </w:rPr>
              <w:t>7</w:t>
            </w:r>
          </w:p>
        </w:tc>
        <w:tc>
          <w:tcPr>
            <w:tcW w:w="1160" w:type="dxa"/>
            <w:vAlign w:val="center"/>
          </w:tcPr>
          <w:p w14:paraId="31229E24">
            <w:pPr>
              <w:pStyle w:val="8"/>
              <w:pageBreakBefore w:val="0"/>
              <w:kinsoku/>
              <w:wordWrap/>
              <w:overflowPunct/>
              <w:topLinePunct w:val="0"/>
              <w:autoSpaceDE/>
              <w:autoSpaceDN/>
              <w:bidi w:val="0"/>
              <w:spacing w:line="360" w:lineRule="auto"/>
              <w:ind w:left="0" w:leftChars="0" w:firstLine="0" w:firstLineChars="0"/>
              <w:jc w:val="center"/>
              <w:outlineLvl w:val="9"/>
              <w:rPr>
                <w:rFonts w:hint="eastAsia" w:ascii="黑体" w:hAnsi="黑体" w:eastAsia="黑体" w:cs="黑体"/>
                <w:b w:val="0"/>
                <w:bCs/>
                <w:color w:val="000000" w:themeColor="text1"/>
                <w:kern w:val="44"/>
                <w:sz w:val="22"/>
                <w:szCs w:val="22"/>
                <w:highlight w:val="none"/>
                <w:vertAlign w:val="baseline"/>
                <w:lang w:val="en-US" w:eastAsia="zh-CN"/>
                <w14:textFill>
                  <w14:solidFill>
                    <w14:schemeClr w14:val="tx1"/>
                  </w14:solidFill>
                </w14:textFill>
              </w:rPr>
            </w:pPr>
            <w:r>
              <w:rPr>
                <w:rFonts w:hint="eastAsia" w:ascii="黑体" w:hAnsi="黑体" w:eastAsia="黑体" w:cs="黑体"/>
                <w:b w:val="0"/>
                <w:bCs/>
                <w:color w:val="000000" w:themeColor="text1"/>
                <w:kern w:val="44"/>
                <w:sz w:val="22"/>
                <w:szCs w:val="22"/>
                <w:highlight w:val="none"/>
                <w:vertAlign w:val="baseline"/>
                <w:lang w:val="en-US" w:eastAsia="zh-CN"/>
                <w14:textFill>
                  <w14:solidFill>
                    <w14:schemeClr w14:val="tx1"/>
                  </w14:solidFill>
                </w14:textFill>
              </w:rPr>
              <w:t>1台</w:t>
            </w:r>
          </w:p>
        </w:tc>
      </w:tr>
    </w:tbl>
    <w:p w14:paraId="58ED616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jc w:val="both"/>
        <w:rPr>
          <w:rFonts w:hint="eastAsia" w:ascii="微软雅黑" w:hAnsi="微软雅黑" w:eastAsia="微软雅黑" w:cs="微软雅黑"/>
          <w:i w:val="0"/>
          <w:iCs w:val="0"/>
          <w:caps w:val="0"/>
          <w:color w:val="333333"/>
          <w:spacing w:val="0"/>
          <w:sz w:val="24"/>
          <w:szCs w:val="24"/>
          <w:shd w:val="clear" w:color="auto" w:fill="FFFFFF"/>
          <w:lang w:val="en-US" w:eastAsia="zh-CN"/>
        </w:rPr>
      </w:pPr>
      <w:r>
        <w:rPr>
          <w:rFonts w:hint="eastAsia" w:ascii="微软雅黑" w:hAnsi="微软雅黑" w:eastAsia="微软雅黑" w:cs="微软雅黑"/>
          <w:i w:val="0"/>
          <w:iCs w:val="0"/>
          <w:caps w:val="0"/>
          <w:color w:val="333333"/>
          <w:spacing w:val="0"/>
          <w:sz w:val="24"/>
          <w:szCs w:val="24"/>
          <w:shd w:val="clear" w:color="auto" w:fill="FFFFFF"/>
          <w:lang w:val="en-US" w:eastAsia="zh-CN"/>
        </w:rPr>
        <w:t>1.例行安全测试</w:t>
      </w:r>
    </w:p>
    <w:p w14:paraId="1E0378F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jc w:val="both"/>
        <w:rPr>
          <w:rFonts w:hint="eastAsia" w:ascii="微软雅黑" w:hAnsi="微软雅黑" w:eastAsia="微软雅黑" w:cs="微软雅黑"/>
          <w:i w:val="0"/>
          <w:iCs w:val="0"/>
          <w:caps w:val="0"/>
          <w:color w:val="333333"/>
          <w:spacing w:val="0"/>
          <w:sz w:val="24"/>
          <w:szCs w:val="24"/>
          <w:shd w:val="clear" w:color="auto" w:fill="FFFFFF"/>
          <w:lang w:val="en-US" w:eastAsia="zh-CN"/>
        </w:rPr>
      </w:pPr>
      <w:r>
        <w:rPr>
          <w:rFonts w:hint="eastAsia" w:ascii="微软雅黑" w:hAnsi="微软雅黑" w:eastAsia="微软雅黑" w:cs="微软雅黑"/>
          <w:i w:val="0"/>
          <w:iCs w:val="0"/>
          <w:caps w:val="0"/>
          <w:color w:val="333333"/>
          <w:spacing w:val="0"/>
          <w:sz w:val="24"/>
          <w:szCs w:val="24"/>
          <w:shd w:val="clear" w:color="auto" w:fill="FFFFFF"/>
          <w:lang w:val="en-US" w:eastAsia="zh-CN"/>
        </w:rPr>
        <w:t>根据国家TSGT5002-2017《电梯维护保养规则》及TSG08-2017《特种设备使用管理规则》，确保足够的安全，按需要进行系统检查、调校、润滑所有的钢丝绳和链条及滑动部件，定期检查所有安全装置，做好例行安全测试。</w:t>
      </w:r>
    </w:p>
    <w:p w14:paraId="66CD2D3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jc w:val="both"/>
        <w:rPr>
          <w:rFonts w:hint="eastAsia" w:ascii="微软雅黑" w:hAnsi="微软雅黑" w:eastAsia="微软雅黑" w:cs="微软雅黑"/>
          <w:i w:val="0"/>
          <w:iCs w:val="0"/>
          <w:caps w:val="0"/>
          <w:color w:val="333333"/>
          <w:spacing w:val="0"/>
          <w:sz w:val="24"/>
          <w:szCs w:val="24"/>
          <w:shd w:val="clear" w:color="auto" w:fill="FFFFFF"/>
          <w:lang w:val="en-US" w:eastAsia="zh-CN"/>
        </w:rPr>
      </w:pPr>
      <w:r>
        <w:rPr>
          <w:rFonts w:hint="eastAsia" w:ascii="微软雅黑" w:hAnsi="微软雅黑" w:eastAsia="微软雅黑" w:cs="微软雅黑"/>
          <w:i w:val="0"/>
          <w:iCs w:val="0"/>
          <w:caps w:val="0"/>
          <w:color w:val="333333"/>
          <w:spacing w:val="0"/>
          <w:sz w:val="24"/>
          <w:szCs w:val="24"/>
          <w:shd w:val="clear" w:color="auto" w:fill="FFFFFF"/>
          <w:lang w:val="en-US" w:eastAsia="zh-CN"/>
        </w:rPr>
        <w:t>2.排除故障及应急服务</w:t>
      </w:r>
    </w:p>
    <w:p w14:paraId="5441D00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jc w:val="both"/>
        <w:rPr>
          <w:rFonts w:hint="eastAsia" w:ascii="微软雅黑" w:hAnsi="微软雅黑" w:eastAsia="微软雅黑" w:cs="微软雅黑"/>
          <w:i w:val="0"/>
          <w:iCs w:val="0"/>
          <w:caps w:val="0"/>
          <w:color w:val="333333"/>
          <w:spacing w:val="0"/>
          <w:sz w:val="24"/>
          <w:szCs w:val="24"/>
          <w:shd w:val="clear" w:color="auto" w:fill="FFFFFF"/>
          <w:lang w:val="en-US" w:eastAsia="zh-CN"/>
        </w:rPr>
      </w:pPr>
      <w:r>
        <w:rPr>
          <w:rFonts w:hint="eastAsia" w:ascii="微软雅黑" w:hAnsi="微软雅黑" w:eastAsia="微软雅黑" w:cs="微软雅黑"/>
          <w:i w:val="0"/>
          <w:iCs w:val="0"/>
          <w:caps w:val="0"/>
          <w:color w:val="333333"/>
          <w:spacing w:val="0"/>
          <w:sz w:val="24"/>
          <w:szCs w:val="24"/>
          <w:shd w:val="clear" w:color="auto" w:fill="FFFFFF"/>
          <w:lang w:val="en-US" w:eastAsia="zh-CN"/>
        </w:rPr>
        <w:t>提供全年7×24小时应急服务，维护保养电梯发生故障或有不正常运行现象，从速派遣人员进行处理，接到通知后15分钟内到达现场处理故障。</w:t>
      </w:r>
    </w:p>
    <w:p w14:paraId="7DA4104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jc w:val="both"/>
        <w:rPr>
          <w:rFonts w:hint="eastAsia" w:ascii="微软雅黑" w:hAnsi="微软雅黑" w:eastAsia="微软雅黑" w:cs="微软雅黑"/>
          <w:i w:val="0"/>
          <w:iCs w:val="0"/>
          <w:caps w:val="0"/>
          <w:color w:val="333333"/>
          <w:spacing w:val="0"/>
          <w:sz w:val="24"/>
          <w:szCs w:val="24"/>
          <w:shd w:val="clear" w:color="auto" w:fill="FFFFFF"/>
          <w:lang w:val="en-US" w:eastAsia="zh-CN"/>
        </w:rPr>
      </w:pPr>
      <w:r>
        <w:rPr>
          <w:rFonts w:hint="eastAsia" w:ascii="微软雅黑" w:hAnsi="微软雅黑" w:eastAsia="微软雅黑" w:cs="微软雅黑"/>
          <w:i w:val="0"/>
          <w:iCs w:val="0"/>
          <w:caps w:val="0"/>
          <w:color w:val="333333"/>
          <w:spacing w:val="0"/>
          <w:sz w:val="24"/>
          <w:szCs w:val="24"/>
          <w:shd w:val="clear" w:color="auto" w:fill="FFFFFF"/>
          <w:lang w:val="en-US" w:eastAsia="zh-CN"/>
        </w:rPr>
        <w:t>3.电梯保养服务</w:t>
      </w:r>
    </w:p>
    <w:p w14:paraId="4F93F93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jc w:val="both"/>
        <w:rPr>
          <w:rFonts w:hint="eastAsia" w:ascii="微软雅黑" w:hAnsi="微软雅黑" w:eastAsia="微软雅黑" w:cs="微软雅黑"/>
          <w:i w:val="0"/>
          <w:iCs w:val="0"/>
          <w:caps w:val="0"/>
          <w:color w:val="333333"/>
          <w:spacing w:val="0"/>
          <w:sz w:val="24"/>
          <w:szCs w:val="24"/>
          <w:shd w:val="clear" w:color="auto" w:fill="FFFFFF"/>
          <w:lang w:val="en-US" w:eastAsia="zh-CN"/>
        </w:rPr>
      </w:pPr>
      <w:r>
        <w:rPr>
          <w:rFonts w:hint="eastAsia" w:ascii="微软雅黑" w:hAnsi="微软雅黑" w:eastAsia="微软雅黑" w:cs="微软雅黑"/>
          <w:i w:val="0"/>
          <w:iCs w:val="0"/>
          <w:caps w:val="0"/>
          <w:color w:val="333333"/>
          <w:spacing w:val="0"/>
          <w:sz w:val="24"/>
          <w:szCs w:val="24"/>
          <w:shd w:val="clear" w:color="auto" w:fill="FFFFFF"/>
          <w:lang w:val="en-US" w:eastAsia="zh-CN"/>
        </w:rPr>
        <w:t>派出具有资格证的作业人员每15天一次对维保电梯进行例行维保检查，采用当前最先进的技术和经验，系统实施有计划的保养服务。其中包括对电梯机件的安全及功能检查、修理、调校及润滑。维保人员在维保工作中发现环境因素对电梯有可能构成损害或有可能影响电梯运行安全或质量时，应立即向用户报告并商议改善方案。</w:t>
      </w:r>
    </w:p>
    <w:p w14:paraId="556704E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jc w:val="both"/>
        <w:rPr>
          <w:rFonts w:hint="eastAsia" w:ascii="微软雅黑" w:hAnsi="微软雅黑" w:eastAsia="微软雅黑" w:cs="微软雅黑"/>
          <w:i w:val="0"/>
          <w:iCs w:val="0"/>
          <w:caps w:val="0"/>
          <w:color w:val="333333"/>
          <w:spacing w:val="0"/>
          <w:sz w:val="24"/>
          <w:szCs w:val="24"/>
          <w:shd w:val="clear" w:color="auto" w:fill="FFFFFF"/>
          <w:lang w:val="en-US" w:eastAsia="zh-CN"/>
        </w:rPr>
      </w:pPr>
      <w:r>
        <w:rPr>
          <w:rFonts w:hint="eastAsia" w:ascii="微软雅黑" w:hAnsi="微软雅黑" w:eastAsia="微软雅黑" w:cs="微软雅黑"/>
          <w:i w:val="0"/>
          <w:iCs w:val="0"/>
          <w:caps w:val="0"/>
          <w:color w:val="333333"/>
          <w:spacing w:val="0"/>
          <w:sz w:val="24"/>
          <w:szCs w:val="24"/>
          <w:shd w:val="clear" w:color="auto" w:fill="FFFFFF"/>
          <w:lang w:val="en-US" w:eastAsia="zh-CN"/>
        </w:rPr>
        <w:t>4.配件更换服务</w:t>
      </w:r>
    </w:p>
    <w:p w14:paraId="3196A9C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jc w:val="both"/>
        <w:rPr>
          <w:rFonts w:hint="eastAsia" w:ascii="微软雅黑" w:hAnsi="微软雅黑" w:eastAsia="微软雅黑" w:cs="微软雅黑"/>
          <w:i w:val="0"/>
          <w:iCs w:val="0"/>
          <w:caps w:val="0"/>
          <w:color w:val="333333"/>
          <w:spacing w:val="0"/>
          <w:sz w:val="24"/>
          <w:szCs w:val="24"/>
          <w:shd w:val="clear" w:color="auto" w:fill="FFFFFF"/>
          <w:lang w:val="en-US" w:eastAsia="zh-CN"/>
        </w:rPr>
      </w:pPr>
      <w:r>
        <w:rPr>
          <w:rFonts w:hint="eastAsia" w:ascii="微软雅黑" w:hAnsi="微软雅黑" w:eastAsia="微软雅黑" w:cs="微软雅黑"/>
          <w:i w:val="0"/>
          <w:iCs w:val="0"/>
          <w:caps w:val="0"/>
          <w:color w:val="333333"/>
          <w:spacing w:val="0"/>
          <w:sz w:val="24"/>
          <w:szCs w:val="24"/>
          <w:shd w:val="clear" w:color="auto" w:fill="FFFFFF"/>
          <w:lang w:val="en-US" w:eastAsia="zh-CN"/>
        </w:rPr>
        <w:t>对配件提供全年7×24小时供应服务，在维护保养过程中发现自然磨损需更换的配件，主动进行更换。</w:t>
      </w:r>
    </w:p>
    <w:p w14:paraId="3DFBA40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jc w:val="both"/>
        <w:rPr>
          <w:rFonts w:hint="eastAsia" w:ascii="微软雅黑" w:hAnsi="微软雅黑" w:eastAsia="微软雅黑" w:cs="微软雅黑"/>
          <w:i w:val="0"/>
          <w:iCs w:val="0"/>
          <w:caps w:val="0"/>
          <w:color w:val="333333"/>
          <w:spacing w:val="0"/>
          <w:sz w:val="24"/>
          <w:szCs w:val="24"/>
          <w:shd w:val="clear" w:color="auto" w:fill="FFFFFF"/>
          <w:lang w:val="en-US" w:eastAsia="zh-CN"/>
        </w:rPr>
      </w:pPr>
      <w:r>
        <w:rPr>
          <w:rFonts w:hint="eastAsia" w:ascii="微软雅黑" w:hAnsi="微软雅黑" w:eastAsia="微软雅黑" w:cs="微软雅黑"/>
          <w:i w:val="0"/>
          <w:iCs w:val="0"/>
          <w:caps w:val="0"/>
          <w:color w:val="333333"/>
          <w:spacing w:val="0"/>
          <w:sz w:val="24"/>
          <w:szCs w:val="24"/>
          <w:shd w:val="clear" w:color="auto" w:fill="FFFFFF"/>
          <w:lang w:val="en-US" w:eastAsia="zh-CN"/>
        </w:rPr>
        <w:t>（二）电梯定期检验检测要求</w:t>
      </w:r>
    </w:p>
    <w:p w14:paraId="5E85518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jc w:val="both"/>
        <w:rPr>
          <w:rFonts w:hint="eastAsia" w:ascii="微软雅黑" w:hAnsi="微软雅黑" w:eastAsia="微软雅黑" w:cs="微软雅黑"/>
          <w:i w:val="0"/>
          <w:iCs w:val="0"/>
          <w:caps w:val="0"/>
          <w:color w:val="333333"/>
          <w:spacing w:val="0"/>
          <w:sz w:val="24"/>
          <w:szCs w:val="24"/>
          <w:shd w:val="clear" w:color="auto" w:fill="FFFFFF"/>
          <w:lang w:val="en-US" w:eastAsia="zh-CN"/>
        </w:rPr>
      </w:pPr>
      <w:r>
        <w:rPr>
          <w:rFonts w:hint="eastAsia" w:ascii="微软雅黑" w:hAnsi="微软雅黑" w:eastAsia="微软雅黑" w:cs="微软雅黑"/>
          <w:i w:val="0"/>
          <w:iCs w:val="0"/>
          <w:caps w:val="0"/>
          <w:color w:val="333333"/>
          <w:spacing w:val="0"/>
          <w:sz w:val="24"/>
          <w:szCs w:val="24"/>
          <w:shd w:val="clear" w:color="auto" w:fill="FFFFFF"/>
          <w:lang w:val="en-US" w:eastAsia="zh-CN"/>
        </w:rPr>
        <w:t>完成当地政府部门按现行法规规定的年度检验检测，并保证通过其中按有关电梯法规规定的安全及质量检查。每年对每台电梯的工作情况作一次全面检查统计，内容至少包括故障次数、类型、处理方法及效果、润滑情况、运行质量情况、运行时振动与噪音情况及安全装置状态等，并提交“年度自检报告”。</w:t>
      </w:r>
    </w:p>
    <w:p w14:paraId="2AF8A46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jc w:val="both"/>
        <w:rPr>
          <w:rFonts w:hint="eastAsia" w:ascii="微软雅黑" w:hAnsi="微软雅黑" w:eastAsia="微软雅黑" w:cs="微软雅黑"/>
          <w:i w:val="0"/>
          <w:iCs w:val="0"/>
          <w:caps w:val="0"/>
          <w:color w:val="333333"/>
          <w:spacing w:val="0"/>
          <w:sz w:val="24"/>
          <w:szCs w:val="24"/>
          <w:shd w:val="clear" w:color="auto" w:fill="FFFFFF"/>
          <w:lang w:val="en-US" w:eastAsia="zh-CN"/>
        </w:rPr>
      </w:pPr>
      <w:r>
        <w:rPr>
          <w:rFonts w:hint="eastAsia" w:ascii="微软雅黑" w:hAnsi="微软雅黑" w:eastAsia="微软雅黑" w:cs="微软雅黑"/>
          <w:i w:val="0"/>
          <w:iCs w:val="0"/>
          <w:caps w:val="0"/>
          <w:color w:val="333333"/>
          <w:spacing w:val="0"/>
          <w:sz w:val="24"/>
          <w:szCs w:val="24"/>
          <w:shd w:val="clear" w:color="auto" w:fill="FFFFFF"/>
          <w:lang w:val="en-US" w:eastAsia="zh-CN"/>
        </w:rPr>
        <w:t>（三）其他要求</w:t>
      </w:r>
    </w:p>
    <w:p w14:paraId="0A11AF5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jc w:val="both"/>
        <w:rPr>
          <w:rFonts w:hint="eastAsia" w:ascii="微软雅黑" w:hAnsi="微软雅黑" w:eastAsia="微软雅黑" w:cs="微软雅黑"/>
          <w:i w:val="0"/>
          <w:iCs w:val="0"/>
          <w:caps w:val="0"/>
          <w:color w:val="333333"/>
          <w:spacing w:val="0"/>
          <w:sz w:val="24"/>
          <w:szCs w:val="24"/>
          <w:shd w:val="clear" w:color="auto" w:fill="FFFFFF"/>
          <w:lang w:val="en-US" w:eastAsia="zh-CN"/>
        </w:rPr>
      </w:pPr>
      <w:r>
        <w:rPr>
          <w:rFonts w:hint="eastAsia" w:ascii="微软雅黑" w:hAnsi="微软雅黑" w:eastAsia="微软雅黑" w:cs="微软雅黑"/>
          <w:i w:val="0"/>
          <w:iCs w:val="0"/>
          <w:caps w:val="0"/>
          <w:color w:val="333333"/>
          <w:spacing w:val="0"/>
          <w:sz w:val="24"/>
          <w:szCs w:val="24"/>
          <w:shd w:val="clear" w:color="auto" w:fill="FFFFFF"/>
          <w:lang w:val="en-US" w:eastAsia="zh-CN"/>
        </w:rPr>
        <w:t>项目验收前须提供竣工总结报告及相关资料。</w:t>
      </w:r>
    </w:p>
    <w:p w14:paraId="51CB9C6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jc w:val="both"/>
        <w:rPr>
          <w:rFonts w:hint="eastAsia" w:ascii="微软雅黑" w:hAnsi="微软雅黑" w:eastAsia="微软雅黑" w:cs="微软雅黑"/>
          <w:i w:val="0"/>
          <w:iCs w:val="0"/>
          <w:caps w:val="0"/>
          <w:color w:val="333333"/>
          <w:spacing w:val="0"/>
          <w:sz w:val="24"/>
          <w:szCs w:val="24"/>
          <w:shd w:val="clear" w:color="auto" w:fill="FFFFFF"/>
        </w:rPr>
      </w:pPr>
      <w:r>
        <w:rPr>
          <w:rFonts w:hint="eastAsia" w:ascii="微软雅黑" w:hAnsi="微软雅黑" w:eastAsia="微软雅黑" w:cs="微软雅黑"/>
          <w:b/>
          <w:bCs/>
          <w:i w:val="0"/>
          <w:iCs w:val="0"/>
          <w:caps w:val="0"/>
          <w:color w:val="333333"/>
          <w:spacing w:val="0"/>
          <w:sz w:val="24"/>
          <w:szCs w:val="24"/>
          <w:shd w:val="clear" w:color="auto" w:fill="FFFFFF"/>
          <w:lang w:val="en-US" w:eastAsia="zh-CN"/>
        </w:rPr>
        <w:t>二</w:t>
      </w:r>
      <w:r>
        <w:rPr>
          <w:rFonts w:hint="eastAsia" w:ascii="微软雅黑" w:hAnsi="微软雅黑" w:eastAsia="微软雅黑" w:cs="微软雅黑"/>
          <w:b/>
          <w:bCs/>
          <w:i w:val="0"/>
          <w:iCs w:val="0"/>
          <w:caps w:val="0"/>
          <w:color w:val="333333"/>
          <w:spacing w:val="0"/>
          <w:sz w:val="24"/>
          <w:szCs w:val="24"/>
          <w:shd w:val="clear" w:color="auto" w:fill="FFFFFF"/>
        </w:rPr>
        <w:t>、采购标的的数量、采购项目交付或者实施的时间和地点</w:t>
      </w:r>
      <w:bookmarkEnd w:id="6"/>
      <w:bookmarkEnd w:id="7"/>
    </w:p>
    <w:p w14:paraId="6F41E77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jc w:val="both"/>
        <w:rPr>
          <w:rFonts w:hint="eastAsia" w:ascii="微软雅黑" w:hAnsi="微软雅黑" w:eastAsia="微软雅黑" w:cs="微软雅黑"/>
          <w:i w:val="0"/>
          <w:iCs w:val="0"/>
          <w:caps w:val="0"/>
          <w:color w:val="333333"/>
          <w:spacing w:val="0"/>
          <w:sz w:val="24"/>
          <w:szCs w:val="24"/>
          <w:shd w:val="clear" w:color="auto" w:fill="FFFFFF"/>
          <w:lang w:val="en-US" w:eastAsia="zh-CN"/>
        </w:rPr>
      </w:pPr>
      <w:r>
        <w:rPr>
          <w:rFonts w:hint="eastAsia" w:ascii="微软雅黑" w:hAnsi="微软雅黑" w:eastAsia="微软雅黑" w:cs="微软雅黑"/>
          <w:i w:val="0"/>
          <w:iCs w:val="0"/>
          <w:caps w:val="0"/>
          <w:color w:val="333333"/>
          <w:spacing w:val="0"/>
          <w:sz w:val="24"/>
          <w:szCs w:val="24"/>
          <w:shd w:val="clear" w:color="auto" w:fill="FFFFFF"/>
          <w:lang w:val="en-US" w:eastAsia="zh-CN"/>
        </w:rPr>
        <w:t>1.采购标的的数量：</w:t>
      </w:r>
      <w:r>
        <w:rPr>
          <w:rFonts w:hint="eastAsia" w:ascii="微软雅黑" w:hAnsi="微软雅黑" w:eastAsia="微软雅黑" w:cs="微软雅黑"/>
          <w:i w:val="0"/>
          <w:iCs w:val="0"/>
          <w:caps w:val="0"/>
          <w:color w:val="333333"/>
          <w:spacing w:val="0"/>
          <w:sz w:val="24"/>
          <w:szCs w:val="24"/>
          <w:shd w:val="clear" w:color="auto" w:fill="FFFFFF"/>
          <w:lang w:val="zh-CN" w:eastAsia="zh-CN"/>
        </w:rPr>
        <w:t>1项；</w:t>
      </w:r>
    </w:p>
    <w:p w14:paraId="41B8770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jc w:val="both"/>
        <w:rPr>
          <w:rFonts w:hint="eastAsia" w:ascii="微软雅黑" w:hAnsi="微软雅黑" w:eastAsia="微软雅黑" w:cs="微软雅黑"/>
          <w:i w:val="0"/>
          <w:iCs w:val="0"/>
          <w:caps w:val="0"/>
          <w:color w:val="333333"/>
          <w:spacing w:val="0"/>
          <w:sz w:val="24"/>
          <w:szCs w:val="24"/>
          <w:shd w:val="clear" w:color="auto" w:fill="FFFFFF"/>
          <w:lang w:val="en-US" w:eastAsia="zh-CN"/>
        </w:rPr>
      </w:pPr>
      <w:r>
        <w:rPr>
          <w:rFonts w:hint="eastAsia" w:ascii="微软雅黑" w:hAnsi="微软雅黑" w:eastAsia="微软雅黑" w:cs="微软雅黑"/>
          <w:i w:val="0"/>
          <w:iCs w:val="0"/>
          <w:caps w:val="0"/>
          <w:color w:val="333333"/>
          <w:spacing w:val="0"/>
          <w:sz w:val="24"/>
          <w:szCs w:val="24"/>
          <w:shd w:val="clear" w:color="auto" w:fill="FFFFFF"/>
          <w:lang w:val="en-US" w:eastAsia="zh-CN"/>
        </w:rPr>
        <w:t>2.服务地点：采购人</w:t>
      </w:r>
      <w:r>
        <w:rPr>
          <w:rFonts w:hint="eastAsia" w:ascii="微软雅黑" w:hAnsi="微软雅黑" w:eastAsia="微软雅黑" w:cs="微软雅黑"/>
          <w:i w:val="0"/>
          <w:iCs w:val="0"/>
          <w:caps w:val="0"/>
          <w:color w:val="333333"/>
          <w:spacing w:val="0"/>
          <w:sz w:val="24"/>
          <w:szCs w:val="24"/>
          <w:shd w:val="clear" w:color="auto" w:fill="FFFFFF"/>
          <w:lang w:val="zh-CN" w:eastAsia="zh-CN"/>
        </w:rPr>
        <w:t>指定地点；</w:t>
      </w:r>
    </w:p>
    <w:p w14:paraId="7A35B32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jc w:val="both"/>
        <w:rPr>
          <w:rFonts w:hint="eastAsia" w:ascii="微软雅黑" w:hAnsi="微软雅黑" w:eastAsia="微软雅黑" w:cs="微软雅黑"/>
          <w:i w:val="0"/>
          <w:iCs w:val="0"/>
          <w:caps w:val="0"/>
          <w:color w:val="333333"/>
          <w:spacing w:val="0"/>
          <w:sz w:val="24"/>
          <w:szCs w:val="24"/>
          <w:shd w:val="clear" w:color="auto" w:fill="FFFFFF"/>
          <w:lang w:val="en-US" w:eastAsia="zh-CN"/>
        </w:rPr>
      </w:pPr>
      <w:r>
        <w:rPr>
          <w:rFonts w:hint="eastAsia" w:ascii="微软雅黑" w:hAnsi="微软雅黑" w:eastAsia="微软雅黑" w:cs="微软雅黑"/>
          <w:i w:val="0"/>
          <w:iCs w:val="0"/>
          <w:caps w:val="0"/>
          <w:color w:val="333333"/>
          <w:spacing w:val="0"/>
          <w:sz w:val="24"/>
          <w:szCs w:val="24"/>
          <w:shd w:val="clear" w:color="auto" w:fill="FFFFFF"/>
          <w:lang w:val="en-US" w:eastAsia="zh-CN"/>
        </w:rPr>
        <w:t>3.服务时间：1年。</w:t>
      </w:r>
    </w:p>
    <w:p w14:paraId="72A6BF4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jc w:val="both"/>
        <w:rPr>
          <w:rFonts w:hint="eastAsia" w:ascii="微软雅黑" w:hAnsi="微软雅黑" w:eastAsia="微软雅黑" w:cs="微软雅黑"/>
          <w:b/>
          <w:bCs/>
          <w:i w:val="0"/>
          <w:iCs w:val="0"/>
          <w:caps w:val="0"/>
          <w:color w:val="333333"/>
          <w:spacing w:val="0"/>
          <w:sz w:val="24"/>
          <w:szCs w:val="24"/>
          <w:shd w:val="clear" w:color="auto" w:fill="FFFFFF"/>
        </w:rPr>
      </w:pPr>
      <w:bookmarkStart w:id="8" w:name="_Toc2782"/>
      <w:bookmarkStart w:id="9" w:name="_Toc15788"/>
      <w:r>
        <w:rPr>
          <w:rFonts w:hint="eastAsia" w:ascii="微软雅黑" w:hAnsi="微软雅黑" w:eastAsia="微软雅黑" w:cs="微软雅黑"/>
          <w:b/>
          <w:bCs/>
          <w:i w:val="0"/>
          <w:iCs w:val="0"/>
          <w:caps w:val="0"/>
          <w:color w:val="333333"/>
          <w:spacing w:val="0"/>
          <w:sz w:val="24"/>
          <w:szCs w:val="24"/>
          <w:shd w:val="clear" w:color="auto" w:fill="FFFFFF"/>
          <w:lang w:val="en-US" w:eastAsia="zh-CN"/>
        </w:rPr>
        <w:t>三</w:t>
      </w:r>
      <w:r>
        <w:rPr>
          <w:rFonts w:hint="eastAsia" w:ascii="微软雅黑" w:hAnsi="微软雅黑" w:eastAsia="微软雅黑" w:cs="微软雅黑"/>
          <w:b/>
          <w:bCs/>
          <w:i w:val="0"/>
          <w:iCs w:val="0"/>
          <w:caps w:val="0"/>
          <w:color w:val="333333"/>
          <w:spacing w:val="0"/>
          <w:sz w:val="24"/>
          <w:szCs w:val="24"/>
          <w:shd w:val="clear" w:color="auto" w:fill="FFFFFF"/>
        </w:rPr>
        <w:t>、采购标的需满足的服务标准、期限、效率等要求</w:t>
      </w:r>
      <w:bookmarkEnd w:id="8"/>
      <w:bookmarkEnd w:id="9"/>
    </w:p>
    <w:p w14:paraId="70BDD43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jc w:val="both"/>
        <w:rPr>
          <w:rFonts w:hint="eastAsia" w:ascii="微软雅黑" w:hAnsi="微软雅黑" w:eastAsia="微软雅黑" w:cs="微软雅黑"/>
          <w:i w:val="0"/>
          <w:iCs w:val="0"/>
          <w:caps w:val="0"/>
          <w:color w:val="333333"/>
          <w:spacing w:val="0"/>
          <w:sz w:val="24"/>
          <w:szCs w:val="24"/>
          <w:shd w:val="clear" w:color="auto" w:fill="FFFFFF"/>
          <w:lang w:val="en-US" w:eastAsia="zh-CN"/>
        </w:rPr>
      </w:pPr>
      <w:r>
        <w:rPr>
          <w:rFonts w:hint="eastAsia" w:ascii="微软雅黑" w:hAnsi="微软雅黑" w:eastAsia="微软雅黑" w:cs="微软雅黑"/>
          <w:i w:val="0"/>
          <w:iCs w:val="0"/>
          <w:caps w:val="0"/>
          <w:color w:val="333333"/>
          <w:spacing w:val="0"/>
          <w:sz w:val="24"/>
          <w:szCs w:val="24"/>
          <w:shd w:val="clear" w:color="auto" w:fill="FFFFFF"/>
          <w:lang w:val="en-US" w:eastAsia="zh-CN"/>
        </w:rPr>
        <w:t>1.服务标准：满足国家、行业相关电梯维保的质量标准和采购人提出的服务要求。</w:t>
      </w:r>
    </w:p>
    <w:p w14:paraId="4D2B655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jc w:val="both"/>
        <w:rPr>
          <w:rFonts w:hint="eastAsia" w:ascii="微软雅黑" w:hAnsi="微软雅黑" w:eastAsia="微软雅黑" w:cs="微软雅黑"/>
          <w:i w:val="0"/>
          <w:iCs w:val="0"/>
          <w:caps w:val="0"/>
          <w:color w:val="333333"/>
          <w:spacing w:val="0"/>
          <w:sz w:val="24"/>
          <w:szCs w:val="24"/>
          <w:shd w:val="clear" w:color="auto" w:fill="FFFFFF"/>
          <w:lang w:val="en-US" w:eastAsia="zh-CN"/>
        </w:rPr>
      </w:pPr>
      <w:r>
        <w:rPr>
          <w:rFonts w:hint="eastAsia" w:ascii="微软雅黑" w:hAnsi="微软雅黑" w:eastAsia="微软雅黑" w:cs="微软雅黑"/>
          <w:i w:val="0"/>
          <w:iCs w:val="0"/>
          <w:caps w:val="0"/>
          <w:color w:val="333333"/>
          <w:spacing w:val="0"/>
          <w:sz w:val="24"/>
          <w:szCs w:val="24"/>
          <w:shd w:val="clear" w:color="auto" w:fill="FFFFFF"/>
          <w:lang w:val="en-US" w:eastAsia="zh-CN"/>
        </w:rPr>
        <w:t>2.服务期限、效率：1年，提供全年7×24小时应急服务，维护保养电梯发生故障或有不正常运行现象，从速派遣人员进行处理，接到通知后15分钟内到达现场处理故障。</w:t>
      </w:r>
    </w:p>
    <w:p w14:paraId="1013372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jc w:val="both"/>
        <w:rPr>
          <w:rFonts w:hint="eastAsia" w:ascii="微软雅黑" w:hAnsi="微软雅黑" w:eastAsia="微软雅黑" w:cs="微软雅黑"/>
          <w:b/>
          <w:bCs/>
          <w:i w:val="0"/>
          <w:iCs w:val="0"/>
          <w:caps w:val="0"/>
          <w:color w:val="333333"/>
          <w:spacing w:val="0"/>
          <w:sz w:val="24"/>
          <w:szCs w:val="24"/>
          <w:shd w:val="clear" w:color="auto" w:fill="FFFFFF"/>
          <w:lang w:val="en-US" w:eastAsia="zh-CN"/>
        </w:rPr>
      </w:pPr>
      <w:bookmarkStart w:id="10" w:name="_Toc3094"/>
      <w:bookmarkStart w:id="11" w:name="_Toc13593"/>
      <w:r>
        <w:rPr>
          <w:rFonts w:hint="eastAsia" w:ascii="微软雅黑" w:hAnsi="微软雅黑" w:eastAsia="微软雅黑" w:cs="微软雅黑"/>
          <w:b/>
          <w:bCs/>
          <w:i w:val="0"/>
          <w:iCs w:val="0"/>
          <w:caps w:val="0"/>
          <w:color w:val="333333"/>
          <w:spacing w:val="0"/>
          <w:sz w:val="24"/>
          <w:szCs w:val="24"/>
          <w:shd w:val="clear" w:color="auto" w:fill="FFFFFF"/>
          <w:lang w:val="en-US" w:eastAsia="zh-CN"/>
        </w:rPr>
        <w:t>四、采购标的的验收标准</w:t>
      </w:r>
      <w:bookmarkEnd w:id="10"/>
      <w:bookmarkEnd w:id="11"/>
    </w:p>
    <w:p w14:paraId="23294B8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420"/>
        <w:jc w:val="both"/>
        <w:rPr>
          <w:rFonts w:hint="eastAsia" w:ascii="微软雅黑" w:hAnsi="微软雅黑" w:eastAsia="微软雅黑" w:cs="微软雅黑"/>
          <w:i w:val="0"/>
          <w:iCs w:val="0"/>
          <w:caps w:val="0"/>
          <w:color w:val="333333"/>
          <w:spacing w:val="0"/>
          <w:sz w:val="24"/>
          <w:szCs w:val="24"/>
          <w:shd w:val="clear" w:color="auto" w:fill="FFFFFF"/>
          <w:lang w:val="en-US" w:eastAsia="zh-CN"/>
        </w:rPr>
      </w:pPr>
      <w:r>
        <w:rPr>
          <w:rFonts w:hint="eastAsia" w:ascii="微软雅黑" w:hAnsi="微软雅黑" w:eastAsia="微软雅黑" w:cs="微软雅黑"/>
          <w:i w:val="0"/>
          <w:iCs w:val="0"/>
          <w:caps w:val="0"/>
          <w:color w:val="333333"/>
          <w:spacing w:val="0"/>
          <w:sz w:val="24"/>
          <w:szCs w:val="24"/>
          <w:shd w:val="clear" w:color="auto" w:fill="FFFFFF"/>
          <w:lang w:val="en-US" w:eastAsia="zh-CN"/>
        </w:rPr>
        <w:t>满足国家、行业相关电梯维保的质量标准及采购人提出的验收要求。</w:t>
      </w:r>
    </w:p>
    <w:p w14:paraId="71CA71FE">
      <w:pPr>
        <w:pStyle w:val="2"/>
        <w:numPr>
          <w:ilvl w:val="2"/>
          <w:numId w:val="0"/>
        </w:numPr>
        <w:jc w:val="both"/>
        <w:rPr>
          <w:rFonts w:hint="eastAsia" w:ascii="黑体" w:hAnsi="黑体" w:eastAsia="黑体" w:cs="黑体"/>
          <w:color w:val="000000" w:themeColor="text1"/>
          <w14:textFill>
            <w14:solidFill>
              <w14:schemeClr w14:val="tx1"/>
            </w14:solidFill>
          </w14:textFill>
        </w:rPr>
      </w:pPr>
    </w:p>
    <w:p w14:paraId="0601541E">
      <w:pPr>
        <w:rPr>
          <w:rFonts w:hint="eastAsia" w:ascii="黑体" w:hAnsi="黑体" w:eastAsia="黑体" w:cs="黑体"/>
          <w:color w:val="000000" w:themeColor="text1"/>
          <w14:textFill>
            <w14:solidFill>
              <w14:schemeClr w14:val="tx1"/>
            </w14:solidFill>
          </w14:textFill>
        </w:rPr>
      </w:pPr>
    </w:p>
    <w:p w14:paraId="2B7AD6A6"/>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315620E"/>
    <w:multiLevelType w:val="multilevel"/>
    <w:tmpl w:val="0315620E"/>
    <w:lvl w:ilvl="0" w:tentative="0">
      <w:start w:val="1"/>
      <w:numFmt w:val="decimal"/>
      <w:lvlText w:val="%1"/>
      <w:lvlJc w:val="left"/>
      <w:pPr>
        <w:tabs>
          <w:tab w:val="left" w:pos="360"/>
        </w:tabs>
        <w:ind w:left="284" w:hanging="284"/>
      </w:pPr>
      <w:rPr>
        <w:rFonts w:hint="default" w:ascii="Times New Roman" w:hAnsi="Times New Roman"/>
        <w:b/>
        <w:i w:val="0"/>
        <w:sz w:val="28"/>
      </w:rPr>
    </w:lvl>
    <w:lvl w:ilvl="1" w:tentative="0">
      <w:start w:val="1"/>
      <w:numFmt w:val="decimal"/>
      <w:lvlText w:val="%1.%2"/>
      <w:lvlJc w:val="left"/>
      <w:pPr>
        <w:tabs>
          <w:tab w:val="left" w:pos="1021"/>
        </w:tabs>
        <w:ind w:left="1021" w:hanging="596"/>
      </w:pPr>
      <w:rPr>
        <w:rFonts w:hint="default" w:ascii="Times New Roman" w:hAnsi="Times New Roman"/>
        <w:b/>
        <w:i w:val="0"/>
        <w:sz w:val="28"/>
      </w:rPr>
    </w:lvl>
    <w:lvl w:ilvl="2" w:tentative="0">
      <w:start w:val="1"/>
      <w:numFmt w:val="decimal"/>
      <w:pStyle w:val="2"/>
      <w:lvlText w:val="%1.%2.%3"/>
      <w:lvlJc w:val="left"/>
      <w:pPr>
        <w:tabs>
          <w:tab w:val="left" w:pos="1588"/>
        </w:tabs>
        <w:ind w:left="1588" w:hanging="737"/>
      </w:pPr>
      <w:rPr>
        <w:rFonts w:hint="default" w:ascii="Times New Roman" w:hAnsi="Times New Roman"/>
        <w:b/>
        <w:i w:val="0"/>
        <w:sz w:val="24"/>
      </w:rPr>
    </w:lvl>
    <w:lvl w:ilvl="3" w:tentative="0">
      <w:start w:val="1"/>
      <w:numFmt w:val="decimal"/>
      <w:lvlText w:val="%1.%2.%3.%4"/>
      <w:lvlJc w:val="left"/>
      <w:pPr>
        <w:tabs>
          <w:tab w:val="left" w:pos="2155"/>
        </w:tabs>
        <w:ind w:left="2155" w:hanging="1078"/>
      </w:pPr>
      <w:rPr>
        <w:rFonts w:hint="default" w:ascii="Arial" w:hAnsi="Arial"/>
        <w:b w:val="0"/>
        <w:i w:val="0"/>
        <w:sz w:val="24"/>
      </w:rPr>
    </w:lvl>
    <w:lvl w:ilvl="4" w:tentative="0">
      <w:start w:val="1"/>
      <w:numFmt w:val="decimal"/>
      <w:lvlText w:val="%1.%2.%3.%4.%5"/>
      <w:lvlJc w:val="left"/>
      <w:pPr>
        <w:tabs>
          <w:tab w:val="left" w:pos="3141"/>
        </w:tabs>
        <w:ind w:left="2551" w:hanging="850"/>
      </w:pPr>
      <w:rPr>
        <w:rFonts w:hint="eastAsia"/>
      </w:rPr>
    </w:lvl>
    <w:lvl w:ilvl="5" w:tentative="0">
      <w:start w:val="1"/>
      <w:numFmt w:val="decimal"/>
      <w:lvlText w:val="%1.%2.%3.%4.%5.%6"/>
      <w:lvlJc w:val="left"/>
      <w:pPr>
        <w:tabs>
          <w:tab w:val="left" w:pos="3566"/>
        </w:tabs>
        <w:ind w:left="3260" w:hanging="1134"/>
      </w:pPr>
      <w:rPr>
        <w:rFonts w:hint="eastAsia"/>
      </w:rPr>
    </w:lvl>
    <w:lvl w:ilvl="6" w:tentative="0">
      <w:start w:val="1"/>
      <w:numFmt w:val="decimal"/>
      <w:lvlText w:val="%1.%2.%3.%4.%5.%6.%7"/>
      <w:lvlJc w:val="left"/>
      <w:pPr>
        <w:tabs>
          <w:tab w:val="left" w:pos="4351"/>
        </w:tabs>
        <w:ind w:left="3827" w:hanging="1276"/>
      </w:pPr>
      <w:rPr>
        <w:rFonts w:hint="eastAsia"/>
      </w:rPr>
    </w:lvl>
    <w:lvl w:ilvl="7" w:tentative="0">
      <w:start w:val="1"/>
      <w:numFmt w:val="decimal"/>
      <w:lvlText w:val="%1.%2.%3.%4.%5.%6.%7.%8"/>
      <w:lvlJc w:val="left"/>
      <w:pPr>
        <w:tabs>
          <w:tab w:val="left" w:pos="5136"/>
        </w:tabs>
        <w:ind w:left="4394" w:hanging="1418"/>
      </w:pPr>
      <w:rPr>
        <w:rFonts w:hint="eastAsia"/>
      </w:rPr>
    </w:lvl>
    <w:lvl w:ilvl="8" w:tentative="0">
      <w:start w:val="1"/>
      <w:numFmt w:val="decimal"/>
      <w:lvlText w:val="%1.%2.%3.%4.%5.%6.%7.%8.%9"/>
      <w:lvlJc w:val="left"/>
      <w:pPr>
        <w:tabs>
          <w:tab w:val="left" w:pos="5562"/>
        </w:tabs>
        <w:ind w:left="5102" w:hanging="17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03A5814"/>
    <w:rsid w:val="2D025268"/>
    <w:rsid w:val="403A58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qFormat/>
    <w:uiPriority w:val="0"/>
    <w:pPr>
      <w:keepNext/>
      <w:keepLines/>
      <w:numPr>
        <w:ilvl w:val="2"/>
        <w:numId w:val="1"/>
      </w:numPr>
      <w:spacing w:before="120" w:after="120" w:line="360" w:lineRule="auto"/>
      <w:jc w:val="center"/>
      <w:outlineLvl w:val="2"/>
    </w:pPr>
    <w:rPr>
      <w:rFonts w:ascii="宋体"/>
      <w:b/>
      <w:bCs/>
      <w:sz w:val="24"/>
      <w:szCs w:val="32"/>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Normal Indent"/>
    <w:basedOn w:val="1"/>
    <w:next w:val="1"/>
    <w:qFormat/>
    <w:uiPriority w:val="0"/>
    <w:pPr>
      <w:tabs>
        <w:tab w:val="left" w:pos="750"/>
      </w:tabs>
      <w:spacing w:beforeLines="50" w:line="300" w:lineRule="auto"/>
      <w:ind w:firstLine="200" w:firstLineChars="200"/>
    </w:pPr>
    <w:rPr>
      <w:rFonts w:ascii="宋体"/>
      <w:szCs w:val="20"/>
    </w:rPr>
  </w:style>
  <w:style w:type="paragraph" w:styleId="4">
    <w:name w:val="Normal (Web)"/>
    <w:basedOn w:val="1"/>
    <w:qFormat/>
    <w:uiPriority w:val="0"/>
    <w:pPr>
      <w:spacing w:before="100" w:beforeAutospacing="1" w:after="100" w:afterAutospacing="1"/>
      <w:ind w:left="0" w:right="0"/>
      <w:jc w:val="left"/>
    </w:pPr>
    <w:rPr>
      <w:kern w:val="0"/>
      <w:sz w:val="24"/>
      <w:lang w:val="en-US" w:eastAsia="zh-CN" w:bidi="ar"/>
    </w:rPr>
  </w:style>
  <w:style w:type="table" w:styleId="6">
    <w:name w:val="Table Grid"/>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8">
    <w:name w:val="技术文档正文"/>
    <w:basedOn w:val="1"/>
    <w:autoRedefine/>
    <w:qFormat/>
    <w:uiPriority w:val="0"/>
    <w:pPr>
      <w:spacing w:line="360" w:lineRule="auto"/>
      <w:ind w:firstLine="200" w:firstLineChars="200"/>
    </w:pPr>
    <w:rPr>
      <w:rFonts w:ascii="Times New Roman" w:hAnsi="Times New Roman"/>
      <w:sz w:val="24"/>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c52e36fa-3cf2-4d52-91da-885cbd3e0414</errorID>
      <errorWord>其它</errorWord>
      <group>L1_Word</group>
      <groupName>字词问题</groupName>
      <ability>L2_Alias</ability>
      <abilityName>也作/曾用词</abilityName>
      <candidateList>
        <item>其他</item>
      </candidateList>
      <explain>词汇[其它]为不规范表述或旧称，其规范书面表述为[其他]。</explain>
      <paraID>10EE3BEC</paraID>
      <start>26</start>
      <end>30</end>
      <status>modified</status>
      <modifiedWord>其他</modifiedWord>
      <trackRevisions>true</trackRevisions>
    </reviewItem>
    <reviewItem>
      <errorID>a2426a8b-23ed-490e-8833-d39648b5878c</errorID>
      <errorWord>＃</errorWord>
      <group>L1_Format</group>
      <groupName>格式问题</groupName>
      <ability>L2_HalfPunc</ability>
      <abilityName>全半角检查</abilityName>
      <candidateList>
        <item>#</item>
      </candidateList>
      <explain>文本全半角错误。</explain>
      <paraID>59F59D1E</paraID>
      <start>1</start>
      <end>2</end>
      <status>unmodified</status>
      <modifiedWord/>
      <trackRevisions>false</trackRevisions>
    </reviewItem>
    <reviewItem>
      <errorID>4c0c2875-6bce-43ea-bbba-d8ffc579c0c3</errorID>
      <errorWord>＃</errorWord>
      <group>L1_Format</group>
      <groupName>格式问题</groupName>
      <ability>L2_HalfPunc</ability>
      <abilityName>全半角检查</abilityName>
      <candidateList>
        <item>#</item>
      </candidateList>
      <explain>文本全半角错误。</explain>
      <paraID>1163A8C9</paraID>
      <start>1</start>
      <end>2</end>
      <status>unmodified</status>
      <modifiedWord/>
      <trackRevisions>false</trackRevisions>
    </reviewItem>
    <reviewItem>
      <errorID>48f40663-da83-452c-8605-3fba6244d223</errorID>
      <errorWord>＃</errorWord>
      <group>L1_Format</group>
      <groupName>格式问题</groupName>
      <ability>L2_HalfPunc</ability>
      <abilityName>全半角检查</abilityName>
      <candidateList>
        <item>#</item>
      </candidateList>
      <explain>文本全半角错误。</explain>
      <paraID>1082AAAB</paraID>
      <start>1</start>
      <end>2</end>
      <status>unmodified</status>
      <modifiedWord/>
      <trackRevisions>false</trackRevisions>
    </reviewItem>
    <reviewItem>
      <errorID>8cf6ae77-77d6-4970-b816-d88c6ed75624</errorID>
      <errorWord>＃</errorWord>
      <group>L1_Format</group>
      <groupName>格式问题</groupName>
      <ability>L2_HalfPunc</ability>
      <abilityName>全半角检查</abilityName>
      <candidateList>
        <item>#</item>
      </candidateList>
      <explain>文本全半角错误。</explain>
      <paraID>38BEFE0B</paraID>
      <start>1</start>
      <end>2</end>
      <status>unmodified</status>
      <modifiedWord/>
      <trackRevisions>false</trackRevisions>
    </reviewItem>
    <reviewItem>
      <errorID>cf73f5fb-0dc6-4344-820b-a1b99689cad0</errorID>
      <errorWord>检査</errorWord>
      <group>L1_Word</group>
      <groupName>字词问题</groupName>
      <ability>L2_Typo</ability>
      <abilityName>字词错误</abilityName>
      <candidateList>
        <item>检查</item>
      </candidateList>
      <explain>❶〈动〉为了发现问题而用心查看：～身体｜～工作。❷〈动〉翻检查考（书籍、文件等）。❸〈动〉检讨▲：～自己的错误。❹〈名〉指用口头或书面形式所做的检讨：写了一份～。</explain>
      <paraID>1E0378FC</paraID>
      <start>66</start>
      <end>70</end>
      <status>modified</status>
      <modifiedWord>检查</modifiedWord>
      <trackRevisions>true</trackRevisions>
    </reviewItem>
    <reviewItem>
      <errorID>94fc7910-0f20-4a4f-8acf-7263cad37906</errorID>
      <errorWord>检査</errorWord>
      <group>L1_Word</group>
      <groupName>字词问题</groupName>
      <ability>L2_Typo</ability>
      <abilityName>字词错误</abilityName>
      <candidateList>
        <item>检查</item>
      </candidateList>
      <explain>❶〈动〉为了发现问题而用心查看：～身体｜～工作。❷〈动〉翻检查考（书籍、文件等）。❸〈动〉检讨▲：～自己的错误。❹〈名〉指用口头或书面形式所做的检讨：写了一份～。</explain>
      <paraID>4F93F931</paraID>
      <start>29</start>
      <end>33</end>
      <status>modified</status>
      <modifiedWord>检查</modifiedWord>
      <trackRevisions>true</trackRevisions>
    </reviewItem>
    <reviewItem>
      <errorID>e3b6cb2f-96e1-402c-be91-f1edd6e1a875</errorID>
      <errorWord>经验</errorWord>
      <group>L1_Grammar</group>
      <groupName>语法问题</groupName>
      <ability>L2_Collocation</ability>
      <abilityName>搭配不当</abilityName>
      <candidateList>
        <item>方法</item>
      </candidateList>
      <explain>句子中可能存在主谓、动宾、定语中心语、状语中心语、补语中心语、关联词搭配不当等问题。</explain>
      <paraID>4F93F931</paraID>
      <start>45</start>
      <end>47</end>
      <status>ignored</status>
      <modifiedWord/>
      <trackRevisions>false</trackRevisions>
    </reviewItem>
    <reviewItem>
      <errorID>72c08a72-9353-4ef0-90cf-d72e1fc5b269</errorID>
      <errorWord>作</errorWord>
      <group>L1_Word</group>
      <groupName>字词问题</groupName>
      <ability>L2_Typo</ability>
      <abilityName>字词错误</abilityName>
      <candidateList>
        <item>作中</item>
      </candidateList>
      <explain/>
      <paraID>4F93F931</paraID>
      <start>96</start>
      <end>99</end>
      <status>modified</status>
      <modifiedWord>作中</modifiedWord>
      <trackRevisions>true</trackRevisions>
    </reviewItem>
    <reviewItem>
      <errorID>1e8f26ba-dd3f-4b2f-82eb-e4ceb3b3ba23</errorID>
      <errorWord>供应</errorWord>
      <group>L1_Grammar</group>
      <groupName>语法问题</groupName>
      <ability>L2_Grammar</ability>
      <abilityName>语法错误</abilityName>
      <candidateList>
        <item>提供</item>
      </candidateList>
      <explain>“供应～服务”搭配不当，建议修改为“提供～服务”。</explain>
      <paraID>3196A9C3</paraID>
      <start>13</start>
      <end>15</end>
      <status>ignored</status>
      <modifiedWord/>
      <trackRevisions>false</trackRevisions>
    </reviewItem>
    <reviewItem>
      <errorID>321bcd2d-fc8f-4584-a1d2-fa55855b31b6</errorID>
      <errorWord>至少将</errorWord>
      <group>L1_Word</group>
      <groupName>字词问题</groupName>
      <ability>L2_Typo</ability>
      <abilityName>字词错误</abilityName>
      <candidateList>
        <item>至少</item>
      </candidateList>
      <explain/>
      <paraID>5E855183</paraID>
      <start>72</start>
      <end>77</end>
      <status>modified</status>
      <modifiedWord>至少</modifiedWord>
      <trackRevisions>true</trackRevisions>
    </reviewItem>
    <reviewItem>
      <errorID>5106b14d-185e-4e19-87b8-f2a04fb44747</errorID>
      <errorWord>噪音</errorWord>
      <group>L1_Word</group>
      <groupName>字词问题</groupName>
      <ability>L2_Alias</ability>
      <abilityName>也作/曾用词</abilityName>
      <candidateList>
        <item>噪声</item>
      </candidateList>
      <explain>词汇[噪音]为不规范表述或旧称，其规范书面表述为[噪声]。</explain>
      <paraID>5E855183</paraID>
      <start>113</start>
      <end>115</end>
      <status>ignored</status>
      <modifiedWord/>
      <trackRevisions>false</trackRevisions>
    </reviewItem>
    <reviewItem>
      <errorID>5a8317c7-6f5d-4116-b241-bb8bf9091ea5</errorID>
      <errorWord>须</errorWord>
      <group>L1_Word</group>
      <groupName>字词问题</groupName>
      <ability>L2_Typo</ability>
      <abilityName>字词错误</abilityName>
      <candidateList>
        <item>需</item>
      </candidateList>
      <explain>存在发音相同字词的误用。</explain>
      <paraID> A11AF5C</paraID>
      <start>5</start>
      <end>6</end>
      <status>ignored</status>
      <modifiedWord/>
      <trackRevisions>false</trackRevisions>
    </reviewItem>
    <reviewItem>
      <errorID>08795b91-a236-415e-9242-6ea43aa0f7d3</errorID>
      <errorWord>就</errorWord>
      <group>L1_Word</group>
      <groupName>字词问题</groupName>
      <ability>L2_Typo</ability>
      <abilityName>字词错误</abilityName>
      <candidateList>
        <item>及</item>
      </candidateList>
      <explain>〈连〉连接并列的名词或名词性词组：图书、仪器、标本～其他。注意用“及”连接的成分多在意义上有主次之分，主要的成分放在“及”的前面。</explain>
      <paraID>23294B8F</paraID>
      <start>18</start>
      <end>20</end>
      <status>modified</status>
      <modifiedWord>及</modifiedWord>
      <trackRevisions>true</trackRevisions>
    </reviewItem>
  </reviewItems>
  <config/>
</contractReview>
</file>

<file path=customXml/itemProps1.xml><?xml version="1.0" encoding="utf-8"?>
<ds:datastoreItem xmlns:ds="http://schemas.openxmlformats.org/officeDocument/2006/customXml" ds:itemID="{7729713e-0346-46ff-9e8f-01858dc5439b}">
  <ds:schemaRefs/>
</ds:datastoreItem>
</file>

<file path=docProps/app.xml><?xml version="1.0" encoding="utf-8"?>
<Properties xmlns="http://schemas.openxmlformats.org/officeDocument/2006/extended-properties" xmlns:vt="http://schemas.openxmlformats.org/officeDocument/2006/docPropsVTypes">
  <Template>Normal.dotm</Template>
  <Company>省农业农村厅</Company>
  <Pages>3</Pages>
  <Words>950</Words>
  <Characters>1051</Characters>
  <Lines>0</Lines>
  <Paragraphs>0</Paragraphs>
  <TotalTime>3</TotalTime>
  <ScaleCrop>false</ScaleCrop>
  <LinksUpToDate>false</LinksUpToDate>
  <CharactersWithSpaces>1051</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2026-04-09T02:57:00Z</dcterms:created>
  <dc:creator>戴瑜宏</dc:creator>
  <cp:lastModifiedBy>刘丹妮</cp:lastModifiedBy>
  <dcterms:modified xsi:type="dcterms:W3CDTF">2026-04-09T11:50:56Z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44B49B3B4221438D8CEC6A84B856DC4C_13</vt:lpwstr>
  </property>
  <property fmtid="{D5CDD505-2E9C-101B-9397-08002B2CF9AE}" pid="4" name="KSOTemplateDocerSaveRecord">
    <vt:lpwstr>eyJoZGlkIjoiZmNmM2Y3MTdkMmUxMzNmYmJkMWE3ZGExZDEyZmYzMDEiLCJ1c2VySWQiOiI0NTM1MDUxNDkifQ==</vt:lpwstr>
  </property>
</Properties>
</file>