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13A11">
      <w:pPr>
        <w:pStyle w:val="12"/>
        <w:spacing w:line="360" w:lineRule="auto"/>
        <w:ind w:firstLine="883" w:firstLineChars="200"/>
        <w:jc w:val="center"/>
        <w:rPr>
          <w:b/>
          <w:bCs/>
          <w:sz w:val="44"/>
          <w:szCs w:val="44"/>
        </w:rPr>
      </w:pPr>
      <w:r>
        <w:rPr>
          <w:rFonts w:ascii="仿宋_GB2312" w:hAnsi="仿宋_GB2312" w:eastAsia="仿宋_GB2312" w:cs="仿宋_GB2312"/>
          <w:b/>
          <w:bCs/>
          <w:color w:val="000000"/>
          <w:sz w:val="44"/>
          <w:szCs w:val="44"/>
        </w:rPr>
        <w:t>评审标准</w:t>
      </w:r>
    </w:p>
    <w:p w14:paraId="110BCA90">
      <w:pPr>
        <w:pStyle w:val="12"/>
        <w:spacing w:line="360" w:lineRule="auto"/>
        <w:ind w:firstLine="560" w:firstLineChars="200"/>
        <w:rPr>
          <w:rFonts w:ascii="仿宋_GB2312" w:hAnsi="仿宋_GB2312" w:eastAsia="仿宋_GB2312" w:cs="仿宋_GB2312"/>
          <w:color w:val="000000"/>
          <w:sz w:val="28"/>
        </w:rPr>
      </w:pPr>
    </w:p>
    <w:p w14:paraId="7E5C9F8A">
      <w:pPr>
        <w:pStyle w:val="12"/>
        <w:spacing w:line="360" w:lineRule="auto"/>
        <w:ind w:firstLine="560" w:firstLineChars="200"/>
      </w:pPr>
      <w:r>
        <w:rPr>
          <w:rFonts w:ascii="仿宋_GB2312" w:hAnsi="仿宋_GB2312" w:eastAsia="仿宋_GB2312" w:cs="仿宋_GB2312"/>
          <w:color w:val="000000"/>
          <w:sz w:val="28"/>
        </w:rPr>
        <w:t>本次遴选评审总分</w:t>
      </w:r>
      <w:bookmarkStart w:id="0" w:name="_GoBack"/>
      <w:bookmarkEnd w:id="0"/>
      <w:r>
        <w:rPr>
          <w:rFonts w:ascii="仿宋_GB2312" w:hAnsi="仿宋_GB2312" w:eastAsia="仿宋_GB2312" w:cs="仿宋_GB2312"/>
          <w:color w:val="000000"/>
          <w:sz w:val="28"/>
        </w:rPr>
        <w:t>值为100分，评审委员会将依据以下标准对各供应商的响应文件进行评审打分。所有评分项均以响应文件中提供的、经评审委员会确认的有效证明材料为依据。</w:t>
      </w:r>
    </w:p>
    <w:p w14:paraId="0C9CB2BB">
      <w:pPr>
        <w:pStyle w:val="12"/>
        <w:spacing w:line="360" w:lineRule="auto"/>
        <w:ind w:firstLine="560" w:firstLineChars="200"/>
      </w:pPr>
      <w:r>
        <w:rPr>
          <w:rFonts w:ascii="仿宋_GB2312" w:hAnsi="仿宋_GB2312" w:eastAsia="仿宋_GB2312" w:cs="仿宋_GB2312"/>
          <w:color w:val="000000"/>
          <w:sz w:val="28"/>
        </w:rPr>
        <w:t>一、 价格部分（满分15分）</w:t>
      </w:r>
    </w:p>
    <w:p w14:paraId="7C0B80D8">
      <w:pPr>
        <w:pStyle w:val="12"/>
        <w:spacing w:line="360" w:lineRule="auto"/>
        <w:ind w:firstLine="560" w:firstLineChars="200"/>
      </w:pPr>
      <w:r>
        <w:rPr>
          <w:rFonts w:hint="eastAsia" w:cs="仿宋_GB2312"/>
          <w:color w:val="000000"/>
          <w:sz w:val="28"/>
          <w:lang w:val="en-US" w:eastAsia="zh-CN"/>
        </w:rPr>
        <w:t>参照</w:t>
      </w:r>
      <w:r>
        <w:rPr>
          <w:rFonts w:ascii="仿宋_GB2312" w:hAnsi="仿宋_GB2312" w:eastAsia="仿宋_GB2312" w:cs="仿宋_GB2312"/>
          <w:color w:val="000000"/>
          <w:sz w:val="28"/>
        </w:rPr>
        <w:t>国家发展计划委员会《招标代理服务收费管理暂行办法》（计价格〔2002〕1980号）规定的收费标准为基准价。 价格得分计算方式为：满足下浮率≥5%的前提下，基础得分为5分；下浮率每增加1个百分点，加1分，累计最高加至10分。本项累计最高得分15分。 公式示例：报价得分 = 5 + (实际下浮率 - 5%)</w:t>
      </w:r>
      <w:r>
        <w:rPr>
          <w:rFonts w:hint="eastAsia" w:ascii="仿宋_GB2312" w:hAnsi="仿宋_GB2312" w:eastAsia="仿宋_GB2312" w:cs="仿宋_GB2312"/>
          <w:color w:val="000000"/>
          <w:sz w:val="28"/>
        </w:rPr>
        <w:t>×</w:t>
      </w:r>
      <w:r>
        <w:rPr>
          <w:rFonts w:ascii="仿宋_GB2312" w:hAnsi="仿宋_GB2312" w:eastAsia="仿宋_GB2312" w:cs="仿宋_GB2312"/>
          <w:color w:val="000000"/>
          <w:sz w:val="28"/>
        </w:rPr>
        <w:t>1 （得分不超过15分）。</w:t>
      </w:r>
    </w:p>
    <w:p w14:paraId="5D6027DC">
      <w:pPr>
        <w:pStyle w:val="12"/>
        <w:spacing w:line="360" w:lineRule="auto"/>
        <w:ind w:firstLine="560" w:firstLineChars="200"/>
      </w:pPr>
      <w:r>
        <w:rPr>
          <w:rFonts w:ascii="仿宋_GB2312" w:hAnsi="仿宋_GB2312" w:eastAsia="仿宋_GB2312" w:cs="仿宋_GB2312"/>
          <w:color w:val="000000"/>
          <w:sz w:val="28"/>
        </w:rPr>
        <w:t>二、 技术服务部分（满分85分）</w:t>
      </w:r>
    </w:p>
    <w:p w14:paraId="32A740E9">
      <w:pPr>
        <w:pStyle w:val="12"/>
        <w:spacing w:line="360" w:lineRule="auto"/>
        <w:ind w:firstLine="560" w:firstLineChars="200"/>
      </w:pPr>
      <w:r>
        <w:rPr>
          <w:rFonts w:ascii="仿宋_GB2312" w:hAnsi="仿宋_GB2312" w:eastAsia="仿宋_GB2312" w:cs="仿宋_GB2312"/>
          <w:color w:val="000000"/>
          <w:sz w:val="28"/>
        </w:rPr>
        <w:t>（一）招标代理服务工作方案（满分30分）</w:t>
      </w:r>
    </w:p>
    <w:p w14:paraId="467A939A">
      <w:pPr>
        <w:pStyle w:val="12"/>
        <w:spacing w:line="360" w:lineRule="auto"/>
        <w:ind w:firstLine="560" w:firstLineChars="200"/>
      </w:pPr>
      <w:r>
        <w:rPr>
          <w:rFonts w:ascii="仿宋_GB2312" w:hAnsi="仿宋_GB2312" w:eastAsia="仿宋_GB2312" w:cs="仿宋_GB2312"/>
          <w:color w:val="000000"/>
          <w:sz w:val="28"/>
        </w:rPr>
        <w:t>评审供应商针对采购人项目特点编制的招标代理服务工作方案的完整性、针对性、合理性与可行性。</w:t>
      </w:r>
    </w:p>
    <w:p w14:paraId="0D7448EE">
      <w:pPr>
        <w:pStyle w:val="12"/>
        <w:spacing w:line="360" w:lineRule="auto"/>
        <w:ind w:firstLine="560" w:firstLineChars="200"/>
      </w:pPr>
      <w:r>
        <w:rPr>
          <w:rFonts w:ascii="仿宋_GB2312" w:hAnsi="仿宋_GB2312" w:eastAsia="仿宋_GB2312" w:cs="仿宋_GB2312"/>
          <w:color w:val="000000"/>
          <w:sz w:val="28"/>
        </w:rPr>
        <w:t>优（得分24-30分）：方案内容详实、完整，紧密结合科研机构采购特点，服务流程设计科学，工作周期安排合理，风险预判及应对措施具体可行。</w:t>
      </w:r>
    </w:p>
    <w:p w14:paraId="5D88C35E">
      <w:pPr>
        <w:pStyle w:val="12"/>
        <w:spacing w:line="360" w:lineRule="auto"/>
        <w:ind w:firstLine="560" w:firstLineChars="200"/>
      </w:pPr>
      <w:r>
        <w:rPr>
          <w:rFonts w:ascii="仿宋_GB2312" w:hAnsi="仿宋_GB2312" w:eastAsia="仿宋_GB2312" w:cs="仿宋_GB2312"/>
          <w:color w:val="000000"/>
          <w:sz w:val="28"/>
        </w:rPr>
        <w:t>良（得分12-23分）：方案内容基本完整，能体现招标代理一般流程，有基本的工作周期安排，但针对性和细节深度一般。</w:t>
      </w:r>
    </w:p>
    <w:p w14:paraId="1C015A9A">
      <w:pPr>
        <w:pStyle w:val="12"/>
        <w:spacing w:line="360" w:lineRule="auto"/>
        <w:ind w:firstLine="560" w:firstLineChars="200"/>
      </w:pPr>
      <w:r>
        <w:rPr>
          <w:rFonts w:ascii="仿宋_GB2312" w:hAnsi="仿宋_GB2312" w:eastAsia="仿宋_GB2312" w:cs="仿宋_GB2312"/>
          <w:color w:val="000000"/>
          <w:sz w:val="28"/>
        </w:rPr>
        <w:t>差（得分0-11分）：方案内容空洞、流于形式，缺乏针对性，或关键内容缺失，可行性不足。</w:t>
      </w:r>
    </w:p>
    <w:p w14:paraId="1A8C3E0E">
      <w:pPr>
        <w:pStyle w:val="12"/>
        <w:spacing w:line="360" w:lineRule="auto"/>
        <w:ind w:firstLine="560" w:firstLineChars="200"/>
      </w:pPr>
      <w:r>
        <w:rPr>
          <w:rFonts w:ascii="仿宋_GB2312" w:hAnsi="仿宋_GB2312" w:eastAsia="仿宋_GB2312" w:cs="仿宋_GB2312"/>
          <w:color w:val="000000"/>
          <w:sz w:val="28"/>
        </w:rPr>
        <w:t>（二）质量承诺与保证措施（满分15分）</w:t>
      </w:r>
    </w:p>
    <w:p w14:paraId="42F16DCC">
      <w:pPr>
        <w:pStyle w:val="12"/>
        <w:spacing w:line="360" w:lineRule="auto"/>
        <w:ind w:firstLine="560" w:firstLineChars="200"/>
      </w:pPr>
      <w:r>
        <w:rPr>
          <w:rFonts w:ascii="仿宋_GB2312" w:hAnsi="仿宋_GB2312" w:eastAsia="仿宋_GB2312" w:cs="仿宋_GB2312"/>
          <w:color w:val="000000"/>
          <w:sz w:val="28"/>
        </w:rPr>
        <w:t>评审供应商提出的服务质量承诺、内部质量控制制度及违约责任的明确性与可执行性。</w:t>
      </w:r>
    </w:p>
    <w:p w14:paraId="18AFDD01">
      <w:pPr>
        <w:pStyle w:val="12"/>
        <w:spacing w:line="360" w:lineRule="auto"/>
        <w:ind w:firstLine="560" w:firstLineChars="200"/>
      </w:pPr>
      <w:r>
        <w:rPr>
          <w:rFonts w:ascii="仿宋_GB2312" w:hAnsi="仿宋_GB2312" w:eastAsia="仿宋_GB2312" w:cs="仿宋_GB2312"/>
          <w:color w:val="000000"/>
          <w:sz w:val="28"/>
        </w:rPr>
        <w:t>优（得分10-15分）：承诺内容具体、标准清晰，保证措施体系健全、操作性强，并附有明确、具体的违约责任条款。</w:t>
      </w:r>
    </w:p>
    <w:p w14:paraId="0B2730CD">
      <w:pPr>
        <w:pStyle w:val="12"/>
        <w:spacing w:line="360" w:lineRule="auto"/>
        <w:ind w:firstLine="560" w:firstLineChars="200"/>
      </w:pPr>
      <w:r>
        <w:rPr>
          <w:rFonts w:ascii="仿宋_GB2312" w:hAnsi="仿宋_GB2312" w:eastAsia="仿宋_GB2312" w:cs="仿宋_GB2312"/>
          <w:color w:val="000000"/>
          <w:sz w:val="28"/>
        </w:rPr>
        <w:t>良（得分4-9分）：有基本的质量承诺和保证措施，但内容不够具体，或违约责任约定较为笼统。</w:t>
      </w:r>
    </w:p>
    <w:p w14:paraId="6EFBBD87">
      <w:pPr>
        <w:pStyle w:val="12"/>
        <w:spacing w:line="360" w:lineRule="auto"/>
        <w:ind w:firstLine="560" w:firstLineChars="200"/>
      </w:pPr>
      <w:r>
        <w:rPr>
          <w:rFonts w:ascii="仿宋_GB2312" w:hAnsi="仿宋_GB2312" w:eastAsia="仿宋_GB2312" w:cs="仿宋_GB2312"/>
          <w:color w:val="000000"/>
          <w:sz w:val="28"/>
        </w:rPr>
        <w:t>差（得分0-3分）：质量承诺与保证措施内容空泛，缺乏实质性内容，或未提供违约责任承诺。</w:t>
      </w:r>
    </w:p>
    <w:p w14:paraId="1E870212">
      <w:pPr>
        <w:pStyle w:val="12"/>
        <w:spacing w:line="360" w:lineRule="auto"/>
        <w:ind w:firstLine="560" w:firstLineChars="200"/>
      </w:pPr>
      <w:r>
        <w:rPr>
          <w:rFonts w:ascii="仿宋_GB2312" w:hAnsi="仿宋_GB2312" w:eastAsia="仿宋_GB2312" w:cs="仿宋_GB2312"/>
          <w:color w:val="000000"/>
          <w:sz w:val="28"/>
        </w:rPr>
        <w:t>（三）服务场所与设施设备条件（满分15分）</w:t>
      </w:r>
    </w:p>
    <w:p w14:paraId="64C0F7D8">
      <w:pPr>
        <w:pStyle w:val="12"/>
        <w:spacing w:line="360" w:lineRule="auto"/>
        <w:ind w:firstLine="560" w:firstLineChars="200"/>
      </w:pPr>
      <w:r>
        <w:rPr>
          <w:rFonts w:ascii="仿宋_GB2312" w:hAnsi="仿宋_GB2312" w:eastAsia="仿宋_GB2312" w:cs="仿宋_GB2312"/>
          <w:color w:val="000000"/>
          <w:sz w:val="28"/>
        </w:rPr>
        <w:t>1.供应商应具备履行政府采购项目招标代理服务所必需的办公场所和设施设备条件，并能够保障开标、评标活动依法依规开展。评审委员会将根据供应商提供的证明材料，对其服务保障能力进行综合评价。</w:t>
      </w:r>
    </w:p>
    <w:p w14:paraId="451C8380">
      <w:pPr>
        <w:pStyle w:val="12"/>
        <w:spacing w:line="360" w:lineRule="auto"/>
        <w:ind w:firstLine="560" w:firstLineChars="200"/>
      </w:pPr>
      <w:r>
        <w:rPr>
          <w:rFonts w:ascii="仿宋_GB2312" w:hAnsi="仿宋_GB2312" w:eastAsia="仿宋_GB2312" w:cs="仿宋_GB2312"/>
          <w:color w:val="000000"/>
          <w:sz w:val="28"/>
        </w:rPr>
        <w:t>（1）供应商应具备相对固定的办公场所，并能提供产权证明或租赁合同等有效证明文件；</w:t>
      </w:r>
    </w:p>
    <w:p w14:paraId="5CC893CE">
      <w:pPr>
        <w:pStyle w:val="12"/>
        <w:spacing w:line="360" w:lineRule="auto"/>
        <w:ind w:firstLine="560" w:firstLineChars="200"/>
      </w:pPr>
      <w:r>
        <w:rPr>
          <w:rFonts w:ascii="仿宋_GB2312" w:hAnsi="仿宋_GB2312" w:eastAsia="仿宋_GB2312" w:cs="仿宋_GB2312"/>
          <w:color w:val="000000"/>
          <w:sz w:val="28"/>
        </w:rPr>
        <w:t>（2）供应商应具备组织开标、评标活动的物理空间或通过合法合规方式获取的第三方场地使用权（如长期租赁、战略合作协议等），并能提供相应证明；</w:t>
      </w:r>
    </w:p>
    <w:p w14:paraId="35F2B4FC">
      <w:pPr>
        <w:pStyle w:val="12"/>
        <w:spacing w:line="360" w:lineRule="auto"/>
        <w:ind w:firstLine="560" w:firstLineChars="200"/>
      </w:pPr>
      <w:r>
        <w:rPr>
          <w:rFonts w:ascii="仿宋_GB2312" w:hAnsi="仿宋_GB2312" w:eastAsia="仿宋_GB2312" w:cs="仿宋_GB2312"/>
          <w:color w:val="000000"/>
          <w:sz w:val="28"/>
        </w:rPr>
        <w:t>（3）开标、评标场所应配备符合《中华人民共和国政府采购法实施条例》第四十二条规定的录音录像及电子监控设施，确保全过程可追溯；</w:t>
      </w:r>
    </w:p>
    <w:p w14:paraId="5E78B948">
      <w:pPr>
        <w:pStyle w:val="12"/>
        <w:spacing w:line="360" w:lineRule="auto"/>
        <w:ind w:firstLine="560" w:firstLineChars="200"/>
      </w:pPr>
      <w:r>
        <w:rPr>
          <w:rFonts w:ascii="仿宋_GB2312" w:hAnsi="仿宋_GB2312" w:eastAsia="仿宋_GB2312" w:cs="仿宋_GB2312"/>
          <w:color w:val="000000"/>
          <w:sz w:val="28"/>
        </w:rPr>
        <w:t>（4）供应商应具备接入并操作云南省政府采购电子交易平台所需的计算机、网络及信息安全保障能力。</w:t>
      </w:r>
    </w:p>
    <w:p w14:paraId="1BA2BA94">
      <w:pPr>
        <w:pStyle w:val="12"/>
        <w:spacing w:line="360" w:lineRule="auto"/>
        <w:ind w:firstLine="560" w:firstLineChars="200"/>
      </w:pPr>
      <w:r>
        <w:rPr>
          <w:rFonts w:ascii="仿宋_GB2312" w:hAnsi="仿宋_GB2312" w:eastAsia="仿宋_GB2312" w:cs="仿宋_GB2312"/>
          <w:color w:val="000000"/>
          <w:sz w:val="28"/>
        </w:rPr>
        <w:t>评审委员会将根据上述条件的完备性、稳定性与可操作性，结合响应文件所附证明材料，综合评定其服务能力，在0-10分范围内合理赋分，无实质性证明材料的不得分。</w:t>
      </w:r>
    </w:p>
    <w:p w14:paraId="4F389310">
      <w:pPr>
        <w:pStyle w:val="12"/>
        <w:spacing w:line="360" w:lineRule="auto"/>
        <w:ind w:firstLine="560" w:firstLineChars="200"/>
      </w:pPr>
      <w:r>
        <w:rPr>
          <w:rFonts w:ascii="仿宋_GB2312" w:hAnsi="仿宋_GB2312" w:eastAsia="仿宋_GB2312" w:cs="仿宋_GB2312"/>
          <w:color w:val="000000"/>
          <w:sz w:val="28"/>
        </w:rPr>
        <w:t>2.供应商为开展招标代理业务所配备的常规办公设施设备（如计算机、打印复印设备、通讯设备等）齐全、运行良好，管理制度健全，能够保障日常业务高效运转的，得5分；设备不齐全或管理制度缺失的，酌情扣分，最低得0分。</w:t>
      </w:r>
    </w:p>
    <w:p w14:paraId="2E4C1201">
      <w:pPr>
        <w:pStyle w:val="12"/>
        <w:spacing w:line="360" w:lineRule="auto"/>
        <w:ind w:firstLine="560" w:firstLineChars="200"/>
      </w:pPr>
      <w:r>
        <w:rPr>
          <w:rFonts w:ascii="仿宋_GB2312" w:hAnsi="仿宋_GB2312" w:eastAsia="仿宋_GB2312" w:cs="仿宋_GB2312"/>
          <w:color w:val="000000"/>
          <w:sz w:val="28"/>
        </w:rPr>
        <w:t>（四）项目团队人员配置（满分15分）</w:t>
      </w:r>
    </w:p>
    <w:p w14:paraId="49C33262">
      <w:pPr>
        <w:pStyle w:val="12"/>
        <w:spacing w:line="360" w:lineRule="auto"/>
        <w:ind w:firstLine="560" w:firstLineChars="200"/>
      </w:pPr>
      <w:r>
        <w:rPr>
          <w:rFonts w:ascii="仿宋_GB2312" w:hAnsi="仿宋_GB2312" w:eastAsia="仿宋_GB2312" w:cs="仿宋_GB2312"/>
          <w:color w:val="000000"/>
          <w:sz w:val="28"/>
        </w:rPr>
        <w:t>1.人员数量与资质（满分10分）：拟投入本项目的团队核心人员（须提供申请人为其缴纳的近期社保证明或劳动合同）中：</w:t>
      </w:r>
    </w:p>
    <w:p w14:paraId="116C16B7">
      <w:pPr>
        <w:pStyle w:val="12"/>
        <w:spacing w:line="360" w:lineRule="auto"/>
        <w:ind w:firstLine="560" w:firstLineChars="200"/>
      </w:pPr>
      <w:r>
        <w:rPr>
          <w:rFonts w:ascii="仿宋_GB2312" w:hAnsi="仿宋_GB2312" w:eastAsia="仿宋_GB2312" w:cs="仿宋_GB2312"/>
          <w:color w:val="000000"/>
          <w:sz w:val="28"/>
        </w:rPr>
        <w:t>每有1人持有政府采购或招标代理相关职业资格证书（如政府采购从业人员培训合格证明等），得2分，本小项最高得6分。 团队负责人或主要成员具有中级及以上技术职称的，得4分。 （同一人员不重复计分，按最高分值项计算）</w:t>
      </w:r>
    </w:p>
    <w:p w14:paraId="3EAE5962">
      <w:pPr>
        <w:pStyle w:val="12"/>
        <w:spacing w:line="360" w:lineRule="auto"/>
        <w:ind w:firstLine="560" w:firstLineChars="200"/>
      </w:pPr>
      <w:r>
        <w:rPr>
          <w:rFonts w:ascii="仿宋_GB2312" w:hAnsi="仿宋_GB2312" w:eastAsia="仿宋_GB2312" w:cs="仿宋_GB2312"/>
          <w:color w:val="000000"/>
          <w:sz w:val="28"/>
        </w:rPr>
        <w:t>2.人员经验与稳定性（满分5分）：根据提供的团队人员简历及证明，评价团队在政府采购、尤其是科研类项目招标代理方面的综合经验。经验丰富、团队结构稳定的，得4-5分；经验一般、结构基本合理的，得2-3分；经验欠缺或团队为新组建的，得0-1分。</w:t>
      </w:r>
    </w:p>
    <w:p w14:paraId="77F6F75E">
      <w:pPr>
        <w:pStyle w:val="12"/>
        <w:spacing w:line="360" w:lineRule="auto"/>
        <w:ind w:firstLine="560" w:firstLineChars="200"/>
      </w:pPr>
      <w:r>
        <w:rPr>
          <w:rFonts w:ascii="仿宋_GB2312" w:hAnsi="仿宋_GB2312" w:eastAsia="仿宋_GB2312" w:cs="仿宋_GB2312"/>
          <w:color w:val="000000"/>
          <w:sz w:val="28"/>
        </w:rPr>
        <w:t>（五）类似项目业绩（满分10分）</w:t>
      </w:r>
    </w:p>
    <w:p w14:paraId="44F6426E">
      <w:pPr>
        <w:pStyle w:val="12"/>
        <w:spacing w:line="360" w:lineRule="auto"/>
        <w:ind w:firstLine="560" w:firstLineChars="200"/>
      </w:pPr>
      <w:r>
        <w:rPr>
          <w:rFonts w:ascii="仿宋_GB2312" w:hAnsi="仿宋_GB2312" w:eastAsia="仿宋_GB2312" w:cs="仿宋_GB2312"/>
          <w:color w:val="000000"/>
          <w:sz w:val="28"/>
        </w:rPr>
        <w:t>评审供应商承接类似项目的经验，以考察其履约能力。</w:t>
      </w:r>
    </w:p>
    <w:p w14:paraId="0762A79D">
      <w:pPr>
        <w:pStyle w:val="12"/>
        <w:spacing w:line="360" w:lineRule="auto"/>
        <w:ind w:firstLine="560" w:firstLineChars="200"/>
      </w:pPr>
      <w:r>
        <w:rPr>
          <w:rFonts w:ascii="仿宋_GB2312" w:hAnsi="仿宋_GB2312" w:eastAsia="仿宋_GB2312" w:cs="仿宋_GB2312"/>
          <w:color w:val="000000"/>
          <w:sz w:val="28"/>
        </w:rPr>
        <w:t>供应商自2023年1月1日以来，每有一项代理科研院所、高等院校或省级以上事业单位政府采购项目（货物、服务或工程类）的成功业绩，得2分。</w:t>
      </w:r>
    </w:p>
    <w:p w14:paraId="366A3F4F">
      <w:pPr>
        <w:pStyle w:val="12"/>
        <w:spacing w:line="360" w:lineRule="auto"/>
        <w:ind w:firstLine="560" w:firstLineChars="200"/>
      </w:pPr>
      <w:r>
        <w:rPr>
          <w:rFonts w:ascii="仿宋_GB2312" w:hAnsi="仿宋_GB2312" w:eastAsia="仿宋_GB2312" w:cs="仿宋_GB2312"/>
          <w:color w:val="000000"/>
          <w:sz w:val="28"/>
        </w:rPr>
        <w:t>上述业绩中，每有一项单个项目委托代理预算金额达到人民币100万元（含）以上的，额外加1分。</w:t>
      </w:r>
    </w:p>
    <w:p w14:paraId="70EE7145">
      <w:pPr>
        <w:pStyle w:val="12"/>
        <w:spacing w:line="360" w:lineRule="auto"/>
        <w:ind w:firstLine="560" w:firstLineChars="200"/>
      </w:pPr>
      <w:r>
        <w:rPr>
          <w:rFonts w:ascii="仿宋_GB2312" w:hAnsi="仿宋_GB2312" w:eastAsia="仿宋_GB2312" w:cs="仿宋_GB2312"/>
          <w:color w:val="000000"/>
          <w:sz w:val="28"/>
        </w:rPr>
        <w:t>本项最高累计得分为10分。</w:t>
      </w:r>
    </w:p>
    <w:p w14:paraId="0992C1B5">
      <w:pPr>
        <w:pStyle w:val="12"/>
        <w:spacing w:line="360" w:lineRule="auto"/>
        <w:ind w:firstLine="560" w:firstLineChars="200"/>
      </w:pPr>
      <w:r>
        <w:rPr>
          <w:rFonts w:ascii="仿宋_GB2312" w:hAnsi="仿宋_GB2312" w:eastAsia="仿宋_GB2312" w:cs="仿宋_GB2312"/>
          <w:color w:val="000000"/>
          <w:sz w:val="28"/>
        </w:rPr>
        <w:t>注：业绩证明材料须提供委托代理合同关键页（含项目名称、委托方、金额、签字盖章页）复印件，或政府采购官网发布的中标（成交）公告截图。同一合同项下业绩不重复计分。未提供有效证明材料的业绩不予计分。</w:t>
      </w:r>
    </w:p>
    <w:p w14:paraId="718CE0DC">
      <w:pPr>
        <w:pStyle w:val="12"/>
        <w:spacing w:line="360" w:lineRule="auto"/>
        <w:ind w:firstLine="560" w:firstLineChars="200"/>
      </w:pPr>
      <w:r>
        <w:rPr>
          <w:rFonts w:ascii="仿宋_GB2312" w:hAnsi="仿宋_GB2312" w:eastAsia="仿宋_GB2312" w:cs="仿宋_GB2312"/>
          <w:color w:val="000000"/>
          <w:sz w:val="28"/>
        </w:rPr>
        <w:t>三、 评审说明</w:t>
      </w:r>
    </w:p>
    <w:p w14:paraId="049D6275">
      <w:pPr>
        <w:pStyle w:val="12"/>
        <w:spacing w:line="360" w:lineRule="auto"/>
        <w:ind w:firstLine="560" w:firstLineChars="200"/>
      </w:pPr>
      <w:r>
        <w:rPr>
          <w:rFonts w:ascii="仿宋_GB2312" w:hAnsi="仿宋_GB2312" w:eastAsia="仿宋_GB2312" w:cs="仿宋_GB2312"/>
          <w:color w:val="000000"/>
          <w:sz w:val="28"/>
        </w:rPr>
        <w:t>1.评审委员会各成员将按照上述标准独立进行评审和打分。所有评审因素的评分均需基于响应文件中的客观证据，并详细记录打分理由。</w:t>
      </w:r>
    </w:p>
    <w:p w14:paraId="079D1C9D">
      <w:pPr>
        <w:pStyle w:val="12"/>
        <w:spacing w:line="360" w:lineRule="auto"/>
        <w:ind w:firstLine="560" w:firstLineChars="200"/>
      </w:pPr>
      <w:r>
        <w:rPr>
          <w:rFonts w:ascii="仿宋_GB2312" w:hAnsi="仿宋_GB2312" w:eastAsia="仿宋_GB2312" w:cs="仿宋_GB2312"/>
          <w:color w:val="000000"/>
          <w:sz w:val="28"/>
        </w:rPr>
        <w:t>2.评审过程中如遇本评审标准未尽事宜，应由评审委员会根据政府采购法律法规及规范性文件的原则集体讨论，并形成一致意见后执行，该意见不得与本评审标准已明确的内容相抵触，且不得对任何供应商构成歧视或不公平待遇。</w:t>
      </w:r>
    </w:p>
    <w:p w14:paraId="4CA6F9BE">
      <w:pPr>
        <w:pStyle w:val="12"/>
        <w:spacing w:line="360" w:lineRule="auto"/>
        <w:ind w:firstLine="560" w:firstLineChars="200"/>
      </w:pPr>
      <w:r>
        <w:rPr>
          <w:rFonts w:ascii="仿宋_GB2312" w:hAnsi="仿宋_GB2312" w:eastAsia="仿宋_GB2312" w:cs="仿宋_GB2312"/>
          <w:color w:val="000000"/>
          <w:sz w:val="28"/>
        </w:rPr>
        <w:t>3.评审委员会完成评分汇总后，按总得分由高到低排序，推荐排名第一的供应商为成交候选人。若出现综合得分相同的情况，则按“招标代理服务工作方案”得分高低确定排序；若仍相同，则按“价格部分”得分高低确定排序。</w:t>
      </w:r>
    </w:p>
    <w:p w14:paraId="5C8E554B">
      <w:pPr>
        <w:pStyle w:val="12"/>
        <w:spacing w:line="360" w:lineRule="auto"/>
        <w:ind w:firstLine="560" w:firstLineChars="200"/>
      </w:pPr>
      <w:r>
        <w:rPr>
          <w:rFonts w:ascii="仿宋_GB2312" w:hAnsi="仿宋_GB2312" w:eastAsia="仿宋_GB2312" w:cs="仿宋_GB2312"/>
          <w:color w:val="000000"/>
          <w:sz w:val="28"/>
        </w:rPr>
        <w:t>4.本评审标准不得设置排斥潜在供应商的不合理条件，不得以不合理要求限制或变相限制供应商参与政府采购活动。所有评审因素应以供应商的实际履约能力为核心，体现公平竞争原则，符合《公平竞争审查条例》第八条关于‘不得设置没有法律、法规或者国务院规定依据的审批或者事前备案程序’以及‘不得设置限制外地经营者参与本地政府采购活动’的规定。</w:t>
      </w:r>
    </w:p>
    <w:p w14:paraId="0DCF901D">
      <w:pPr>
        <w:pStyle w:val="12"/>
        <w:bidi w:val="0"/>
        <w:rPr>
          <w:rFonts w:hint="default" w:ascii="仿宋_GB2312" w:hAnsi="仿宋_GB2312" w:eastAsia="仿宋_GB2312" w:cs="仿宋_GB2312"/>
          <w:sz w:val="24"/>
          <w:szCs w:val="24"/>
          <w:lang w:val="en-US" w:eastAsia="zh-CN"/>
        </w:rPr>
      </w:pPr>
    </w:p>
    <w:p w14:paraId="24C0FA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YWNjMDE0ZGU4NjE0MWMzZDdjYjZkMjNkNjJiMTIifQ=="/>
  </w:docVars>
  <w:rsids>
    <w:rsidRoot w:val="703417DC"/>
    <w:rsid w:val="02544165"/>
    <w:rsid w:val="0B29179E"/>
    <w:rsid w:val="0BC041AE"/>
    <w:rsid w:val="0DEA031F"/>
    <w:rsid w:val="0E3B4979"/>
    <w:rsid w:val="12CC5E6A"/>
    <w:rsid w:val="131B42F0"/>
    <w:rsid w:val="16D2799A"/>
    <w:rsid w:val="17067FF2"/>
    <w:rsid w:val="19D163E9"/>
    <w:rsid w:val="1B8436AF"/>
    <w:rsid w:val="1C8516B1"/>
    <w:rsid w:val="1E2119EA"/>
    <w:rsid w:val="1F845524"/>
    <w:rsid w:val="21FA7AAB"/>
    <w:rsid w:val="2231042B"/>
    <w:rsid w:val="26B92CAC"/>
    <w:rsid w:val="2ACC0052"/>
    <w:rsid w:val="30A838E1"/>
    <w:rsid w:val="357D411A"/>
    <w:rsid w:val="35F92B68"/>
    <w:rsid w:val="365212DD"/>
    <w:rsid w:val="396C6937"/>
    <w:rsid w:val="3DBD1D2D"/>
    <w:rsid w:val="3F537201"/>
    <w:rsid w:val="459F064A"/>
    <w:rsid w:val="467363C2"/>
    <w:rsid w:val="492848D9"/>
    <w:rsid w:val="529C5647"/>
    <w:rsid w:val="569E27DD"/>
    <w:rsid w:val="58024040"/>
    <w:rsid w:val="5E702F18"/>
    <w:rsid w:val="5F080EC6"/>
    <w:rsid w:val="5FAF086F"/>
    <w:rsid w:val="634871C3"/>
    <w:rsid w:val="636B6AA9"/>
    <w:rsid w:val="63FC4B8C"/>
    <w:rsid w:val="69F3670C"/>
    <w:rsid w:val="6C4244EF"/>
    <w:rsid w:val="703417DC"/>
    <w:rsid w:val="70F17325"/>
    <w:rsid w:val="715F5B8B"/>
    <w:rsid w:val="78B06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400" w:lineRule="exact"/>
      <w:jc w:val="center"/>
      <w:outlineLvl w:val="1"/>
    </w:pPr>
    <w:rPr>
      <w:rFonts w:ascii="Arial" w:hAnsi="Arial"/>
      <w:b/>
      <w:kern w:val="0"/>
      <w:sz w:val="3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adjustRightInd w:val="0"/>
      <w:spacing w:line="440" w:lineRule="exact"/>
    </w:pPr>
    <w:rPr>
      <w:rFonts w:ascii="宋体" w:hAnsi="宋体"/>
      <w:b/>
      <w:color w:val="000000"/>
      <w:sz w:val="24"/>
    </w:rPr>
  </w:style>
  <w:style w:type="paragraph" w:styleId="5">
    <w:name w:val="Date"/>
    <w:basedOn w:val="1"/>
    <w:next w:val="1"/>
    <w:qFormat/>
    <w:uiPriority w:val="0"/>
    <w:pPr>
      <w:ind w:left="100" w:leftChars="2500"/>
    </w:pPr>
    <w:rPr>
      <w:rFonts w:ascii="宋体"/>
      <w:kern w:val="0"/>
      <w:sz w:val="24"/>
    </w:rPr>
  </w:style>
  <w:style w:type="paragraph" w:styleId="6">
    <w:name w:val="Body Text Indent"/>
    <w:basedOn w:val="1"/>
    <w:qFormat/>
    <w:uiPriority w:val="0"/>
    <w:pPr>
      <w:spacing w:line="200" w:lineRule="exact"/>
      <w:ind w:firstLine="301"/>
    </w:pPr>
    <w:rPr>
      <w:rFonts w:ascii="宋体"/>
      <w:spacing w:val="-4"/>
      <w:sz w:val="18"/>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2"/>
    <w:basedOn w:val="6"/>
    <w:unhideWhenUsed/>
    <w:qFormat/>
    <w:uiPriority w:val="99"/>
    <w:pPr>
      <w:spacing w:after="120" w:line="240" w:lineRule="auto"/>
      <w:ind w:left="420" w:leftChars="200" w:firstLine="420" w:firstLineChars="200"/>
    </w:pPr>
    <w:rPr>
      <w:sz w:val="21"/>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null5"/>
    <w:hidden/>
    <w:uiPriority w:val="0"/>
    <w:rPr>
      <w:rFonts w:hint="eastAsia" w:ascii="仿宋_GB2312" w:hAnsi="仿宋_GB2312" w:eastAsia="仿宋_GB2312" w:cs="仿宋_GB231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2127</Words>
  <Characters>2192</Characters>
  <Lines>0</Lines>
  <Paragraphs>0</Paragraphs>
  <TotalTime>23</TotalTime>
  <ScaleCrop>false</ScaleCrop>
  <LinksUpToDate>false</LinksUpToDate>
  <CharactersWithSpaces>2206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2025-04-07T06:33:00Z</dcterms:created>
  <dc:creator>赵静霞</dc:creator>
  <cp:lastModifiedBy>陆粉玲</cp:lastModifiedBy>
  <cp:lastPrinted>2026-04-29T03:24:45Z</cp:lastPrinted>
  <dcterms:modified xsi:type="dcterms:W3CDTF">2026-04-29T07:37:50Z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05B329423572468994C2E49956D352EE_13</vt:lpwstr>
  </property>
  <property fmtid="{D5CDD505-2E9C-101B-9397-08002B2CF9AE}" pid="4" name="KSOTemplateDocerSaveRecord">
    <vt:lpwstr>eyJoZGlkIjoiYjZkNzRmYTZlYjg3MWI2OWQ1N2Q0YjY3MTM4OGM3YmMiLCJ1c2VySWQiOiIxNjExOTcyNTA5In0=</vt:lpwstr>
  </property>
</Properties>
</file>