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9CAD">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附件2</w:t>
      </w:r>
    </w:p>
    <w:p w14:paraId="60D45CB0">
      <w:pPr>
        <w:keepNext w:val="0"/>
        <w:keepLines w:val="0"/>
        <w:pageBreakBefore w:val="0"/>
        <w:kinsoku/>
        <w:wordWrap/>
        <w:overflowPunct/>
        <w:topLinePunct w:val="0"/>
        <w:bidi w:val="0"/>
        <w:adjustRightInd w:val="0"/>
        <w:snapToGrid/>
        <w:spacing w:line="630" w:lineRule="exact"/>
        <w:ind w:firstLine="640" w:firstLineChars="200"/>
        <w:contextualSpacing/>
        <w:jc w:val="center"/>
        <w:rPr>
          <w:rFonts w:hint="default" w:ascii="Times New Roman" w:hAnsi="Times New Roman" w:eastAsia="方正仿宋_GBK" w:cs="Times New Roman"/>
          <w:b/>
          <w:color w:val="auto"/>
          <w:sz w:val="32"/>
          <w:szCs w:val="32"/>
        </w:rPr>
      </w:pPr>
    </w:p>
    <w:p w14:paraId="6F7A3AE1">
      <w:pPr>
        <w:keepNext w:val="0"/>
        <w:keepLines w:val="0"/>
        <w:pageBreakBefore w:val="0"/>
        <w:kinsoku/>
        <w:wordWrap/>
        <w:overflowPunct/>
        <w:topLinePunct w:val="0"/>
        <w:bidi w:val="0"/>
        <w:adjustRightInd w:val="0"/>
        <w:snapToGrid/>
        <w:spacing w:line="630" w:lineRule="exact"/>
        <w:contextualSpacing/>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耕地建设与利用资金项目实施</w:t>
      </w:r>
      <w:r>
        <w:rPr>
          <w:rFonts w:hint="default" w:ascii="Times New Roman" w:hAnsi="Times New Roman" w:eastAsia="方正小标宋_GBK" w:cs="Times New Roman"/>
          <w:b w:val="0"/>
          <w:bCs/>
          <w:color w:val="auto"/>
          <w:sz w:val="44"/>
          <w:szCs w:val="44"/>
          <w:lang w:eastAsia="zh-CN"/>
        </w:rPr>
        <w:t>方案</w:t>
      </w:r>
    </w:p>
    <w:p w14:paraId="536F2E78">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仿宋_GBK" w:cs="Times New Roman"/>
          <w:bCs/>
          <w:color w:val="auto"/>
          <w:sz w:val="32"/>
          <w:szCs w:val="32"/>
        </w:rPr>
      </w:pPr>
    </w:p>
    <w:p w14:paraId="48EBCEFB">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一、稳定实施耕地地力保护补贴</w:t>
      </w:r>
    </w:p>
    <w:p w14:paraId="32D56F0B">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地要按规定科学确定耕地地力保护补贴发放依据、对象、标准等，优化资金测算分配方式，县域内必须统一补贴标准（实行梯度补贴的，统一梯度内标准）。加大补贴发放核实力度。对作为畜牧养殖场、渔业养殖场占用的耕地，国家已颁发林权证的林地和已颁发林权证或已享受退耕还林政策的耕地，成片耕地转为设施农业用地，非农业征（占）用等已改变用途的耕地，抛荒1年以上的耕地，占补平衡中补充耕地未通过验收的耕地，擅自转为林地、园地的耕地，管控类耕地中未严格按照耕地种植用途管控要求种植农作物的耕地，村集体未承包给种地农民和国有农场企业未承包租赁给种地人员的耕地等不予补贴。对符合条件的新增耕地，可按规定纳入补贴范围。</w:t>
      </w:r>
      <w:r>
        <w:rPr>
          <w:rFonts w:hint="eastAsia" w:ascii="Times New Roman" w:hAnsi="Times New Roman" w:eastAsia="方正仿宋_GBK" w:cs="Times New Roman"/>
          <w:color w:val="auto"/>
          <w:sz w:val="32"/>
          <w:szCs w:val="32"/>
          <w:lang w:eastAsia="zh-CN"/>
        </w:rPr>
        <w:t>该项资金</w:t>
      </w:r>
      <w:r>
        <w:rPr>
          <w:rFonts w:hint="default" w:ascii="Times New Roman" w:hAnsi="Times New Roman" w:eastAsia="方正仿宋_GBK" w:cs="Times New Roman"/>
          <w:color w:val="auto"/>
          <w:sz w:val="32"/>
          <w:szCs w:val="32"/>
        </w:rPr>
        <w:t>通过“一卡通”直补到户，并通过免费发放短信明确政策项目名称、金额等政策信息。</w:t>
      </w:r>
    </w:p>
    <w:p w14:paraId="70494C38">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w:t>
      </w:r>
      <w:r>
        <w:rPr>
          <w:rFonts w:hint="default" w:ascii="Times New Roman" w:hAnsi="Times New Roman" w:eastAsia="方正黑体_GBK" w:cs="Times New Roman"/>
          <w:color w:val="auto"/>
          <w:sz w:val="32"/>
          <w:szCs w:val="32"/>
          <w:highlight w:val="none"/>
          <w:lang w:val="en-US" w:eastAsia="zh-CN"/>
        </w:rPr>
        <w:t>推进</w:t>
      </w:r>
      <w:r>
        <w:rPr>
          <w:rFonts w:hint="default" w:ascii="Times New Roman" w:hAnsi="Times New Roman" w:eastAsia="方正黑体_GBK" w:cs="Times New Roman"/>
          <w:color w:val="auto"/>
          <w:sz w:val="32"/>
          <w:szCs w:val="32"/>
          <w:highlight w:val="none"/>
        </w:rPr>
        <w:t>高标准农田建设</w:t>
      </w:r>
    </w:p>
    <w:p w14:paraId="073AC726">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按照《农田建设项目管理办法》（中华人民共和国农业农村部令2019年第4号）、云南省农田建设项目系列管理规定、《云南省财政厅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农业农村厅关于印发〈云南省耕地建设与利用资金管理实施细则〉的通知》（云财规〔2024〕14号）等要求，省本级、州（市）、县（市、区）开展本年度高标准农田建设工作。该项任务采取因素法分配，资金采取定额法分配。按照规划任务（90%）、上一年度项目建设进度（5%）和上一年度预算执行进度（5%）</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3个因素分配，我们将规划任务因素细化为3个因素：建设需求（45%）、建设潜力（40%）、2025年度土地出让收入用于农业农村支出省级统筹资金上解情况（15%）。因素法分解完成后使用2025年</w:t>
      </w:r>
      <w:r>
        <w:rPr>
          <w:rFonts w:hint="eastAsia" w:ascii="Times New Roman" w:hAnsi="Times New Roman" w:eastAsia="方正仿宋_GBK" w:cs="Times New Roman"/>
          <w:color w:val="auto"/>
          <w:sz w:val="32"/>
          <w:szCs w:val="32"/>
          <w:lang w:val="en-US" w:eastAsia="zh-CN"/>
        </w:rPr>
        <w:t>中央财政资金</w:t>
      </w:r>
      <w:r>
        <w:rPr>
          <w:rFonts w:hint="default" w:ascii="Times New Roman" w:hAnsi="Times New Roman" w:eastAsia="方正仿宋_GBK" w:cs="Times New Roman"/>
          <w:color w:val="auto"/>
          <w:sz w:val="32"/>
          <w:szCs w:val="32"/>
          <w:lang w:val="en-US" w:eastAsia="zh-CN"/>
        </w:rPr>
        <w:t>支出进度进行奖惩性绩效调节，并根据各地建设潜力和申报建设需求进行校核，将超出部分调出，扣减值、调出值共同用于支持其他未被调出的县高标准农田建设。在确定各县（市、区）高标准农田建设任务后，按定额法进行115786万元资金分配，用于支持全省77个县（市、区）高标准农田建设53万亩，项目实施要符合《高标准农田建设通则》、《农田建设项目管理办法》等要求。省级通过设置绩效目标、加强质量控制等方式督促各地按质按量按时完成相关任务。</w:t>
      </w:r>
    </w:p>
    <w:p w14:paraId="6D3FC35C">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三、实施耕地轮作休耕</w:t>
      </w:r>
    </w:p>
    <w:p w14:paraId="191963DB">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聚焦重点品种、完善用地养地相结合、生产生态相统筹、增产增收相兼顾的耕作制度。一是开展耕地轮作39万亩，结合工作实际，按照每亩30元的标准，统筹油菜扩种、耕地轮作休耕资金，对全省种植的427.61万亩油菜（含油菜轮作39万亩）给予补助，原则上进行物化补助，补助资金主要用于支持良种、硼肥、统防统治、技术培训等环节。各地要综合考虑土地条件、作物茬口、气候条件等因素，推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稻谷+油菜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玉米+油菜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烟草+油菜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等轮作模式，提升种植水平，降低病虫害发生</w:t>
      </w:r>
      <w:r>
        <w:rPr>
          <w:rFonts w:hint="eastAsia" w:ascii="Times New Roman" w:hAnsi="Times New Roman" w:eastAsia="方正仿宋_GBK" w:cs="Times New Roman"/>
          <w:color w:val="auto"/>
          <w:sz w:val="32"/>
          <w:szCs w:val="32"/>
          <w:lang w:val="en-US" w:eastAsia="zh-CN"/>
        </w:rPr>
        <w:t>率</w:t>
      </w:r>
      <w:r>
        <w:rPr>
          <w:rFonts w:hint="default" w:ascii="Times New Roman" w:hAnsi="Times New Roman" w:eastAsia="方正仿宋_GBK" w:cs="Times New Roman"/>
          <w:color w:val="auto"/>
          <w:sz w:val="32"/>
          <w:szCs w:val="32"/>
        </w:rPr>
        <w:t>，减少农药使用量，加快构建绿色种植制度，确保完成耕地轮作任务。二是以扩种油料为重点，实施粮油轮作、油菜花生间套作/轮作、油经间套作示范1.478万亩，每亩补助150元。其中，小麦/油料轮作：石林县0.2万亩，广南县0.13万亩，德宏州本级0.05万亩，丽江市本级0.05万亩；杂粮/油料轮作：石林县0.3万亩，广南县0.098万亩，丽江市本级0.05万亩；花生间套作/轮作：昭通市本级和文山州本级各0.1万亩；油菜间套作/轮作：广南县0.2万亩，大理州本级0.1万亩，临沧市本级0.1万亩。</w:t>
      </w:r>
    </w:p>
    <w:p w14:paraId="65A772BA">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基于我省耕地轮作多为油菜轮作，对于油菜轮作补助中通过现金发放部分，通过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管理平台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扩种油菜（现金补助）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项目发放，各地农业农村部门要严格按照我省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管理要求做好补贴兑付工作。</w:t>
      </w:r>
    </w:p>
    <w:p w14:paraId="2C1D6AA3">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、推进耕地质量提升</w:t>
      </w:r>
    </w:p>
    <w:p w14:paraId="17ED3099">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lang w:val="en-US" w:eastAsia="zh-CN"/>
        </w:rPr>
        <w:t>（一）实施化肥减量增效项目。</w:t>
      </w:r>
      <w:r>
        <w:rPr>
          <w:rFonts w:hint="default" w:ascii="Times New Roman" w:hAnsi="Times New Roman" w:eastAsia="方正仿宋_GBK" w:cs="Times New Roman"/>
          <w:color w:val="auto"/>
          <w:sz w:val="32"/>
          <w:szCs w:val="32"/>
        </w:rPr>
        <w:t>聚焦新一轮千亿斤粮食产能提升行动，以</w:t>
      </w:r>
      <w:r>
        <w:rPr>
          <w:rFonts w:hint="eastAsia" w:ascii="Times New Roman" w:hAnsi="Times New Roman" w:eastAsia="方正仿宋_GBK" w:cs="Times New Roman"/>
          <w:color w:val="auto"/>
          <w:sz w:val="32"/>
          <w:szCs w:val="32"/>
          <w:lang w:eastAsia="zh-CN"/>
        </w:rPr>
        <w:t>“优结构、提效率、促增产”</w:t>
      </w:r>
      <w:r>
        <w:rPr>
          <w:rFonts w:hint="default" w:ascii="Times New Roman" w:hAnsi="Times New Roman" w:eastAsia="方正仿宋_GBK" w:cs="Times New Roman"/>
          <w:color w:val="auto"/>
          <w:sz w:val="32"/>
          <w:szCs w:val="32"/>
        </w:rPr>
        <w:t>为主线，持续开展肥效田间试验、农户施肥情况调查、取土化验等基础支撑工作，依托农技推广体系、新型经营主体和社会化服务组织，大力推广测土配方施肥技术，集成推广施肥新产品、新技术、新机具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模式，系统推广水肥一体化，力争实现全省农用化肥施用总量基本稳定，三大粮食作物化肥利用率、水肥一体化应用面积和有机肥施用面积进一步提高。建设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集成推进县12个，推广水肥一体化示范15万亩，开展三大粮食化肥利用率、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试验、肥效校正等田间试验260个，农户施肥调查10000户。</w:t>
      </w:r>
    </w:p>
    <w:p w14:paraId="13861C08">
      <w:pPr>
        <w:keepNext w:val="0"/>
        <w:keepLines w:val="0"/>
        <w:pageBreakBefore w:val="0"/>
        <w:widowControl w:val="0"/>
        <w:numPr>
          <w:ilvl w:val="0"/>
          <w:numId w:val="0"/>
        </w:numPr>
        <w:kinsoku/>
        <w:wordWrap/>
        <w:overflowPunct/>
        <w:topLinePunct w:val="0"/>
        <w:autoSpaceDE/>
        <w:autoSpaceDN/>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（二）开展</w:t>
      </w:r>
      <w:r>
        <w:rPr>
          <w:rFonts w:hint="default" w:ascii="Times New Roman" w:hAnsi="Times New Roman" w:eastAsia="方正楷体_GBK" w:cs="Times New Roman"/>
          <w:color w:val="auto"/>
          <w:sz w:val="32"/>
          <w:szCs w:val="32"/>
        </w:rPr>
        <w:t>生产障碍耕地治理</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聚焦重点区域，选择障碍耕地分布面积较大、工作</w:t>
      </w:r>
      <w:bookmarkStart w:id="3" w:name="_GoBack"/>
      <w:bookmarkEnd w:id="3"/>
      <w:r>
        <w:rPr>
          <w:rFonts w:hint="default" w:ascii="Times New Roman" w:hAnsi="Times New Roman" w:eastAsia="方正仿宋_GBK" w:cs="Times New Roman"/>
          <w:color w:val="auto"/>
          <w:sz w:val="32"/>
          <w:szCs w:val="32"/>
        </w:rPr>
        <w:t>基础较好的11个县（市、区）和7个州</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本级，支持因地制宜落实品种替代、农艺调控等措施，探索可复制推广的有效安全利用技术模式，开展生产障碍耕地治理面积14.5万亩。对项目区域实施情况进行效果评估。完成农产品加密监测5313个。开展试验推广特定绿色优质水稻种植。开展受污染耕地安全利用。开展低积累水稻品种筛选选育。</w:t>
      </w:r>
    </w:p>
    <w:p w14:paraId="0139B9FC">
      <w:pPr>
        <w:pStyle w:val="5"/>
        <w:keepNext w:val="0"/>
        <w:keepLines w:val="0"/>
        <w:pageBreakBefore w:val="0"/>
        <w:widowControl w:val="0"/>
        <w:numPr>
          <w:ilvl w:val="0"/>
          <w:numId w:val="0"/>
        </w:numPr>
        <w:kinsoku/>
        <w:wordWrap/>
        <w:overflowPunct/>
        <w:topLinePunct w:val="0"/>
        <w:autoSpaceDE/>
        <w:autoSpaceDN/>
        <w:bidi w:val="0"/>
        <w:adjustRightInd/>
        <w:snapToGrid/>
        <w:spacing w:line="630" w:lineRule="exact"/>
        <w:ind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2"/>
          <w:sz w:val="32"/>
          <w:szCs w:val="32"/>
          <w:lang w:val="en-US" w:eastAsia="zh-CN" w:bidi="ar-SA"/>
        </w:rPr>
      </w:pPr>
      <w:bookmarkStart w:id="0" w:name="OLE_LINK7"/>
      <w:r>
        <w:rPr>
          <w:rFonts w:hint="default" w:ascii="Times New Roman" w:hAnsi="Times New Roman" w:eastAsia="方正楷体_GBK" w:cs="Times New Roman"/>
          <w:b w:val="0"/>
          <w:bCs w:val="0"/>
          <w:color w:val="auto"/>
          <w:sz w:val="32"/>
          <w:szCs w:val="32"/>
          <w:highlight w:val="none"/>
          <w:lang w:eastAsia="zh-CN"/>
        </w:rPr>
        <w:t>（三）开展第三次全国土壤普查。</w:t>
      </w:r>
      <w:bookmarkEnd w:id="0"/>
      <w:bookmarkStart w:id="1" w:name="OLE_LINK9"/>
      <w:r>
        <w:rPr>
          <w:rFonts w:hint="default" w:ascii="Times New Roman" w:hAnsi="Times New Roman" w:eastAsia="方正仿宋_GBK" w:cs="Times New Roman"/>
          <w:color w:val="auto"/>
          <w:kern w:val="2"/>
          <w:sz w:val="32"/>
          <w:szCs w:val="32"/>
          <w:lang w:val="en-US" w:eastAsia="zh-CN" w:bidi="ar-SA"/>
        </w:rPr>
        <w:t>按照《国务院关于开展第三次全国土壤普查的通知》（国发〔2022〕4号）《云南省人民政府关于开展云南省第三次全国土壤普查的通知》（云政发〔2022〕30号）等要求，省本级、州（市）、县（市、区）开展本年度第三次全国土壤普查成果编制、验收及成果应用。该项资金采取因素法分配资金。分配标准为基础因素20%，任务因素75%和脱贫地区因素5%，资金下达州（市），由州（市）统筹分配（未完成2024年、2025年</w:t>
      </w:r>
      <w:r>
        <w:rPr>
          <w:rFonts w:hint="eastAsia" w:ascii="Times New Roman" w:hAnsi="Times New Roman" w:eastAsia="方正仿宋_GBK" w:cs="Times New Roman"/>
          <w:color w:val="auto"/>
          <w:kern w:val="2"/>
          <w:sz w:val="32"/>
          <w:szCs w:val="32"/>
          <w:lang w:val="en-US" w:eastAsia="zh-CN" w:bidi="ar-SA"/>
        </w:rPr>
        <w:t>中央财政资金</w:t>
      </w:r>
      <w:r>
        <w:rPr>
          <w:rFonts w:hint="default" w:ascii="Times New Roman" w:hAnsi="Times New Roman" w:eastAsia="方正仿宋_GBK" w:cs="Times New Roman"/>
          <w:color w:val="auto"/>
          <w:kern w:val="2"/>
          <w:sz w:val="32"/>
          <w:szCs w:val="32"/>
          <w:lang w:val="en-US" w:eastAsia="zh-CN" w:bidi="ar-SA"/>
        </w:rPr>
        <w:t>支出目标的县市区不分配资金）。项目实施要符合《第三次全国土壤普查技术规程规范》（修订版）、《第三次全国土壤普查县级成果编制及验收导引》、《第三次全国土壤普查省市级成果清单及编制导引》、《云南省第三次全国土壤普查领导小组办公室关于加快成果形成规范验收工作的通知》等要求。省级通过设置绩效目标，加强质量控制等方式督促各地按质按量按时完成相关任务目标。</w:t>
      </w:r>
    </w:p>
    <w:p w14:paraId="471FE29D">
      <w:pPr>
        <w:pStyle w:val="5"/>
        <w:keepNext w:val="0"/>
        <w:keepLines w:val="0"/>
        <w:pageBreakBefore w:val="0"/>
        <w:widowControl w:val="0"/>
        <w:numPr>
          <w:ilvl w:val="0"/>
          <w:numId w:val="0"/>
        </w:numPr>
        <w:kinsoku/>
        <w:wordWrap/>
        <w:overflowPunct/>
        <w:topLinePunct w:val="0"/>
        <w:autoSpaceDE/>
        <w:autoSpaceDN/>
        <w:bidi w:val="0"/>
        <w:adjustRightInd/>
        <w:snapToGrid/>
        <w:spacing w:line="630" w:lineRule="exact"/>
        <w:ind w:leftChars="0" w:right="0" w:rightChars="0" w:firstLine="640" w:firstLineChars="200"/>
        <w:jc w:val="both"/>
        <w:textAlignment w:val="auto"/>
        <w:outlineLvl w:val="9"/>
        <w:rPr>
          <w:rFonts w:hint="default" w:ascii="Times New Roman" w:hAnsi="Times New Roman" w:eastAsia="方正仿宋_GBK" w:cs="Times New Roman"/>
          <w:b w:val="0"/>
          <w:bCs/>
          <w:color w:val="auto"/>
          <w:kern w:val="2"/>
          <w:sz w:val="32"/>
          <w:szCs w:val="32"/>
          <w:highlight w:val="none"/>
          <w:u w:val="none"/>
          <w:lang w:val="en-US" w:eastAsia="zh-CN" w:bidi="ar-SA"/>
        </w:rPr>
      </w:pPr>
      <w:r>
        <w:rPr>
          <w:rFonts w:hint="default" w:ascii="Times New Roman" w:hAnsi="Times New Roman" w:eastAsia="方正楷体_GBK" w:cs="Times New Roman"/>
          <w:b w:val="0"/>
          <w:bCs w:val="0"/>
          <w:color w:val="auto"/>
          <w:sz w:val="32"/>
          <w:szCs w:val="32"/>
          <w:lang w:val="en-US" w:eastAsia="zh-CN"/>
        </w:rPr>
        <w:t>（四）</w:t>
      </w:r>
      <w:bookmarkEnd w:id="1"/>
      <w:r>
        <w:rPr>
          <w:rFonts w:hint="default" w:ascii="Times New Roman" w:hAnsi="Times New Roman" w:eastAsia="方正楷体_GBK" w:cs="Times New Roman"/>
          <w:b w:val="0"/>
          <w:bCs w:val="0"/>
          <w:color w:val="auto"/>
          <w:sz w:val="32"/>
          <w:szCs w:val="32"/>
          <w:lang w:val="en-US" w:eastAsia="zh-CN"/>
        </w:rPr>
        <w:t>开展</w:t>
      </w:r>
      <w:r>
        <w:rPr>
          <w:rFonts w:hint="eastAsia" w:ascii="Times New Roman" w:hAnsi="Times New Roman" w:eastAsia="方正楷体_GBK" w:cs="Times New Roman"/>
          <w:b w:val="0"/>
          <w:bCs w:val="0"/>
          <w:color w:val="auto"/>
          <w:sz w:val="32"/>
          <w:szCs w:val="32"/>
          <w:lang w:val="en-US" w:eastAsia="zh-CN"/>
        </w:rPr>
        <w:t>酸</w:t>
      </w:r>
      <w:r>
        <w:rPr>
          <w:rFonts w:hint="default" w:ascii="Times New Roman" w:hAnsi="Times New Roman" w:eastAsia="方正楷体_GBK" w:cs="Times New Roman"/>
          <w:b w:val="0"/>
          <w:bCs w:val="0"/>
          <w:color w:val="auto"/>
          <w:sz w:val="32"/>
          <w:szCs w:val="32"/>
          <w:lang w:val="en-US" w:eastAsia="zh-CN"/>
        </w:rPr>
        <w:t>化耕地治理。</w:t>
      </w:r>
      <w:r>
        <w:rPr>
          <w:rFonts w:hint="default" w:ascii="Times New Roman" w:hAnsi="Times New Roman" w:eastAsia="方正仿宋_GBK" w:cs="Times New Roman"/>
          <w:color w:val="auto"/>
          <w:sz w:val="32"/>
          <w:szCs w:val="32"/>
          <w:highlight w:val="none"/>
          <w:u w:val="none"/>
          <w:lang w:val="en-US" w:eastAsia="zh-CN"/>
        </w:rPr>
        <w:t>根据《农业农村部办公厅关于做好2025年酸化耕地治理重点县建设工作的通知》（农办建〔2025〕5号），普洱市景谷县作为全国第二批酸化耕地治理30个重点县之一，按照累计三年、连续实施的要求，继2025年实施酸化耕地治理之后，2026年继续实施。同时，在2025年9月我省推荐5个酸化耕地治理储备县的基础上，农业农村部农田建设管理司公示，玉溪市峨山县、西双版纳州勐海县入选全国第三批酸化耕地治理重点县。每个县每年实施8万亩酸化耕地治理，按照每亩补助125元的标准，每个县补助1000万元。</w:t>
      </w:r>
    </w:p>
    <w:p w14:paraId="12BFA753">
      <w:pPr>
        <w:pStyle w:val="2"/>
        <w:keepNext w:val="0"/>
        <w:keepLines w:val="0"/>
        <w:pageBreakBefore w:val="0"/>
        <w:kinsoku/>
        <w:wordWrap/>
        <w:overflowPunct/>
        <w:topLinePunct w:val="0"/>
        <w:bidi w:val="0"/>
        <w:adjustRightInd w:val="0"/>
        <w:snapToGrid/>
        <w:spacing w:line="630" w:lineRule="exact"/>
        <w:ind w:firstLine="640" w:firstLineChars="200"/>
        <w:contextualSpacing/>
        <w:rPr>
          <w:rFonts w:hint="default" w:ascii="Times New Roman" w:hAnsi="Times New Roman" w:eastAsia="方正仿宋_GBK" w:cs="Times New Roman"/>
          <w:color w:val="auto"/>
          <w:kern w:val="2"/>
          <w:sz w:val="32"/>
          <w:szCs w:val="32"/>
          <w:highlight w:val="none"/>
          <w:u w:val="none"/>
          <w:lang w:val="en-US" w:eastAsia="zh-CN" w:bidi="ar-SA"/>
        </w:rPr>
      </w:pPr>
      <w:bookmarkStart w:id="2" w:name="OLE_LINK8"/>
      <w:r>
        <w:rPr>
          <w:rFonts w:hint="default" w:ascii="Times New Roman" w:hAnsi="Times New Roman" w:eastAsia="方正楷体_GBK" w:cs="Times New Roman"/>
          <w:b w:val="0"/>
          <w:bCs w:val="0"/>
          <w:color w:val="auto"/>
          <w:sz w:val="32"/>
          <w:szCs w:val="32"/>
          <w:lang w:val="en-US" w:eastAsia="zh-CN"/>
        </w:rPr>
        <w:t>（五）开展二轮延包。</w:t>
      </w:r>
      <w:bookmarkEnd w:id="2"/>
      <w:r>
        <w:rPr>
          <w:rFonts w:hint="default" w:ascii="Times New Roman" w:hAnsi="Times New Roman" w:eastAsia="方正仿宋_GBK" w:cs="Times New Roman"/>
          <w:color w:val="auto"/>
          <w:kern w:val="2"/>
          <w:sz w:val="32"/>
          <w:szCs w:val="32"/>
          <w:highlight w:val="none"/>
          <w:u w:val="none"/>
          <w:lang w:val="en-US" w:eastAsia="zh-CN" w:bidi="ar-SA"/>
        </w:rPr>
        <w:t>全面开展第二轮土地承包到期后再延长30年整省试点工作，支持50个试点县（市、区）开展基础信息摸底核实、承包经营权调查、承包信息变更、承包合同网签、档案规范化管理、宣传培训、总结验收等与农村土地二轮延包试点相关的工作。县级农业农村部门要根据本地实际细化制定项目实施方案，州（市）农业农村部门要加强绩效监控，及时掌握工作进度和资金使用情况，确保项目任务按批复的试点实施方案如期完成。</w:t>
      </w:r>
      <w:r>
        <w:rPr>
          <w:rFonts w:hint="eastAsia" w:ascii="Times New Roman" w:hAnsi="Times New Roman" w:eastAsia="方正仿宋_GBK" w:cs="Times New Roman"/>
          <w:color w:val="auto"/>
          <w:kern w:val="2"/>
          <w:highlight w:val="none"/>
        </w:rPr>
        <w:t>省级通过省级农业发展专项资金，按3元/亩</w:t>
      </w:r>
      <w:r>
        <w:rPr>
          <w:rFonts w:hint="eastAsia" w:ascii="Times New Roman" w:hAnsi="Times New Roman" w:eastAsia="方正仿宋_GBK" w:cs="Times New Roman"/>
          <w:color w:val="auto"/>
          <w:kern w:val="2"/>
          <w:highlight w:val="none"/>
          <w:lang w:val="en-US" w:eastAsia="zh-CN"/>
        </w:rPr>
        <w:t>的</w:t>
      </w:r>
      <w:r>
        <w:rPr>
          <w:rFonts w:hint="eastAsia" w:ascii="Times New Roman" w:hAnsi="Times New Roman" w:eastAsia="方正仿宋_GBK" w:cs="Times New Roman"/>
          <w:color w:val="auto"/>
          <w:kern w:val="2"/>
          <w:highlight w:val="none"/>
        </w:rPr>
        <w:t>标准安排10540.71万元对此项工作予以补助，支持67个县（市、区）3513.57万亩承包地开展二轮延包试点工作，延包经费不足部分由</w:t>
      </w:r>
      <w:r>
        <w:rPr>
          <w:rFonts w:hint="eastAsia" w:ascii="Times New Roman" w:hAnsi="Times New Roman" w:eastAsia="方正仿宋_GBK" w:cs="Times New Roman"/>
          <w:color w:val="auto"/>
          <w:kern w:val="2"/>
          <w:highlight w:val="none"/>
          <w:lang w:val="en-US" w:eastAsia="zh-CN"/>
        </w:rPr>
        <w:t>州（市）</w:t>
      </w:r>
      <w:r>
        <w:rPr>
          <w:rFonts w:hint="eastAsia" w:ascii="Times New Roman" w:hAnsi="Times New Roman" w:eastAsia="方正仿宋_GBK" w:cs="Times New Roman"/>
          <w:color w:val="auto"/>
          <w:kern w:val="2"/>
          <w:highlight w:val="none"/>
        </w:rPr>
        <w:t>、县</w:t>
      </w:r>
      <w:r>
        <w:rPr>
          <w:rFonts w:hint="eastAsia" w:ascii="Times New Roman" w:hAnsi="Times New Roman" w:eastAsia="方正仿宋_GBK" w:cs="Times New Roman"/>
          <w:color w:val="auto"/>
          <w:kern w:val="2"/>
          <w:highlight w:val="none"/>
          <w:lang w:eastAsia="zh-CN"/>
        </w:rPr>
        <w:t>（</w:t>
      </w:r>
      <w:r>
        <w:rPr>
          <w:rFonts w:hint="eastAsia" w:ascii="Times New Roman" w:hAnsi="Times New Roman" w:eastAsia="方正仿宋_GBK" w:cs="Times New Roman"/>
          <w:color w:val="auto"/>
          <w:kern w:val="2"/>
          <w:highlight w:val="none"/>
          <w:lang w:val="en-US" w:eastAsia="zh-CN"/>
        </w:rPr>
        <w:t>市、区</w:t>
      </w:r>
      <w:r>
        <w:rPr>
          <w:rFonts w:hint="eastAsia" w:ascii="Times New Roman" w:hAnsi="Times New Roman" w:eastAsia="方正仿宋_GBK" w:cs="Times New Roman"/>
          <w:color w:val="auto"/>
          <w:kern w:val="2"/>
          <w:highlight w:val="none"/>
          <w:lang w:eastAsia="zh-CN"/>
        </w:rPr>
        <w:t>）</w:t>
      </w:r>
      <w:r>
        <w:rPr>
          <w:rFonts w:hint="eastAsia" w:ascii="Times New Roman" w:hAnsi="Times New Roman" w:eastAsia="方正仿宋_GBK" w:cs="Times New Roman"/>
          <w:color w:val="auto"/>
          <w:kern w:val="2"/>
          <w:highlight w:val="none"/>
        </w:rPr>
        <w:t>结合工作实际予以保障。</w:t>
      </w:r>
    </w:p>
    <w:p w14:paraId="3F17A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E4565"/>
    <w:rsid w:val="09237DB8"/>
    <w:rsid w:val="1EE61F3B"/>
    <w:rsid w:val="257E4565"/>
    <w:rsid w:val="51344EEE"/>
    <w:rsid w:val="79FD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_GB2312" w:eastAsia="Times New Roman" w:cs="??_GB2312"/>
      <w:kern w:val="0"/>
    </w:rPr>
  </w:style>
  <w:style w:type="paragraph" w:customStyle="1" w:styleId="5">
    <w:name w:val="列出段落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2777</Words>
  <Characters>2919</Characters>
  <Lines>0</Lines>
  <Paragraphs>0</Paragraphs>
  <TotalTime>3</TotalTime>
  <ScaleCrop>false</ScaleCrop>
  <LinksUpToDate>false</LinksUpToDate>
  <CharactersWithSpaces>2920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2026-07-01T03:20:00Z</dcterms:created>
  <dc:creator>zyh</dc:creator>
  <cp:lastModifiedBy>zyh</cp:lastModifiedBy>
  <dcterms:modified xsi:type="dcterms:W3CDTF">2026-07-01T07:20:07Z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A6229128F1504DE5A2080E1D525B8A82_13</vt:lpwstr>
  </property>
  <property fmtid="{D5CDD505-2E9C-101B-9397-08002B2CF9AE}" pid="4" name="KSOTemplateDocerSaveRecord">
    <vt:lpwstr>eyJoZGlkIjoiYmI0OTBhMzA4Zjg4OTA2ZTJjZTc2MmQ4ZWY3OWViNDMiLCJ1c2VySWQiOiI0MTMxNzYxNDQifQ==</vt:lpwstr>
  </property>
</Properties>
</file>