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89F3E">
      <w:pPr>
        <w:pStyle w:val="2"/>
        <w:keepNext w:val="0"/>
        <w:keepLines w:val="0"/>
        <w:pageBreakBefore w:val="0"/>
        <w:kinsoku/>
        <w:wordWrap/>
        <w:overflowPunct/>
        <w:topLinePunct w:val="0"/>
        <w:bidi w:val="0"/>
        <w:adjustRightInd w:val="0"/>
        <w:snapToGrid/>
        <w:spacing w:line="630" w:lineRule="exact"/>
        <w:ind w:firstLine="0" w:firstLineChars="0"/>
        <w:contextualSpacing/>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附件3</w:t>
      </w:r>
    </w:p>
    <w:p w14:paraId="4D17D273">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仿宋_GBK" w:cs="Times New Roman"/>
          <w:bCs/>
          <w:color w:val="auto"/>
          <w:sz w:val="32"/>
          <w:szCs w:val="32"/>
        </w:rPr>
      </w:pPr>
    </w:p>
    <w:p w14:paraId="0CD6B9A5">
      <w:pPr>
        <w:keepNext w:val="0"/>
        <w:keepLines w:val="0"/>
        <w:pageBreakBefore w:val="0"/>
        <w:kinsoku/>
        <w:wordWrap/>
        <w:overflowPunct/>
        <w:topLinePunct w:val="0"/>
        <w:bidi w:val="0"/>
        <w:adjustRightInd w:val="0"/>
        <w:snapToGrid/>
        <w:spacing w:line="630" w:lineRule="exact"/>
        <w:contextualSpacing/>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农业产业发展资金项目实施</w:t>
      </w:r>
      <w:r>
        <w:rPr>
          <w:rFonts w:hint="default" w:ascii="Times New Roman" w:hAnsi="Times New Roman" w:eastAsia="方正小标宋_GBK" w:cs="Times New Roman"/>
          <w:b w:val="0"/>
          <w:bCs/>
          <w:color w:val="auto"/>
          <w:sz w:val="44"/>
          <w:szCs w:val="44"/>
          <w:lang w:eastAsia="zh-CN"/>
        </w:rPr>
        <w:t>方案</w:t>
      </w:r>
    </w:p>
    <w:p w14:paraId="15306EED">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仿宋_GBK" w:cs="Times New Roman"/>
          <w:bCs/>
          <w:color w:val="auto"/>
          <w:sz w:val="32"/>
          <w:szCs w:val="32"/>
        </w:rPr>
      </w:pPr>
    </w:p>
    <w:p w14:paraId="4560B8B5">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一、实施农机购置与应用补贴</w:t>
      </w:r>
    </w:p>
    <w:p w14:paraId="1760E8EF">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b/>
          <w:bCs/>
          <w:color w:val="auto"/>
          <w:sz w:val="32"/>
          <w:szCs w:val="32"/>
          <w:lang w:val="en-US" w:eastAsia="zh-CN"/>
        </w:rPr>
        <w:t>落实好“优机优补”、“有进有出”。</w:t>
      </w:r>
      <w:r>
        <w:rPr>
          <w:rFonts w:hint="eastAsia" w:ascii="方正仿宋_GBK" w:hAnsi="方正仿宋_GBK" w:eastAsia="方正仿宋_GBK" w:cs="方正仿宋_GBK"/>
          <w:b w:val="0"/>
          <w:bCs w:val="0"/>
          <w:color w:val="auto"/>
          <w:sz w:val="32"/>
          <w:szCs w:val="32"/>
          <w:lang w:val="en-US" w:eastAsia="zh-CN"/>
        </w:rPr>
        <w:t>重点支持适宜我省丘陵山区粮油糖农业生产的中小型智能插秧机、播种机、收获机，北斗监测终端、北斗辅助驾驶系统在农机领域，茶叶、橡胶、核桃、咖啡、中药材等特色经济作物生产农机，以及新能源农机等的推广应用。加强西南四省区沟通协调，共同建立健全“优机”评选、质量承诺和效益评价制度，选定“优机”种类，科学制定“优补”标准。加快推进短板创新机具列补，老旧、高能耗、存在安全隐患等农机具报废，过时落后和高风险机具补贴退坡退出。</w:t>
      </w:r>
      <w:r>
        <w:rPr>
          <w:rFonts w:hint="eastAsia" w:ascii="方正仿宋_GBK" w:hAnsi="方正仿宋_GBK" w:eastAsia="方正仿宋_GBK" w:cs="方正仿宋_GBK"/>
          <w:b/>
          <w:bCs/>
          <w:color w:val="auto"/>
          <w:sz w:val="32"/>
          <w:szCs w:val="32"/>
          <w:lang w:val="en-US" w:eastAsia="zh-CN"/>
        </w:rPr>
        <w:t>加强风险防控。</w:t>
      </w:r>
      <w:r>
        <w:rPr>
          <w:rFonts w:hint="eastAsia" w:ascii="方正仿宋_GBK" w:hAnsi="方正仿宋_GBK" w:eastAsia="方正仿宋_GBK" w:cs="方正仿宋_GBK"/>
          <w:b w:val="0"/>
          <w:bCs w:val="0"/>
          <w:color w:val="auto"/>
          <w:sz w:val="32"/>
          <w:szCs w:val="32"/>
          <w:lang w:val="en-US" w:eastAsia="zh-CN"/>
        </w:rPr>
        <w:t>不断完善健全政策实施监管和风险防控措施，全流程加强补贴政策实施监管，重点加强鉴定检测、一览表编制、产品投档、机具核验等关键环节，通过信息核实、补贴大数据比对、补贴机具使用情况分级抽查、现场演示评价等方式，及时发现补贴政策实施存在的异常和问题。严厉打击骗补套补违法违规行为，及时查处补贴机具不适宜地方农业生产等问题，切实提高政策实施监管水平和资金使用效益。</w:t>
      </w:r>
      <w:r>
        <w:rPr>
          <w:rFonts w:hint="eastAsia" w:ascii="方正仿宋_GBK" w:hAnsi="方正仿宋_GBK" w:eastAsia="方正仿宋_GBK" w:cs="方正仿宋_GBK"/>
          <w:b/>
          <w:bCs/>
          <w:color w:val="auto"/>
          <w:sz w:val="32"/>
          <w:szCs w:val="32"/>
          <w:lang w:val="en-US" w:eastAsia="zh-CN"/>
        </w:rPr>
        <w:t>强化问题整治。</w:t>
      </w:r>
      <w:r>
        <w:rPr>
          <w:rFonts w:hint="eastAsia" w:ascii="方正仿宋_GBK" w:hAnsi="方正仿宋_GBK" w:eastAsia="方正仿宋_GBK" w:cs="方正仿宋_GBK"/>
          <w:b w:val="0"/>
          <w:bCs w:val="0"/>
          <w:color w:val="auto"/>
          <w:sz w:val="32"/>
          <w:szCs w:val="32"/>
          <w:lang w:val="en-US" w:eastAsia="zh-CN"/>
        </w:rPr>
        <w:t>针对机具补贴额相对于销售价格是否合理问题，通过建立健全定期梳理、分析、排查机制，及时发现异常和问题，动态进行调整优化。针对农机生产企业和经销商虚开高开发票问题，通过广开言路、紧盯线索，适时组织核查和交叉检查，规范查处涉及产销企业。针对限时办理合格率低问题，积极争取政府领导支持，加强与财政部门沟通协调，强化岗位责任落实，确保补贴申请办理规范、准确、高效，补贴资金兑付及时。</w:t>
      </w:r>
      <w:r>
        <w:rPr>
          <w:rFonts w:hint="eastAsia" w:ascii="Times New Roman" w:hAnsi="Times New Roman" w:eastAsia="方正仿宋_GBK" w:cs="Times New Roman"/>
          <w:color w:val="auto"/>
          <w:sz w:val="32"/>
          <w:szCs w:val="32"/>
          <w:lang w:eastAsia="zh-CN"/>
        </w:rPr>
        <w:t>该项资金</w:t>
      </w:r>
      <w:r>
        <w:rPr>
          <w:rFonts w:hint="default" w:ascii="Times New Roman" w:hAnsi="Times New Roman" w:eastAsia="方正仿宋_GBK" w:cs="Times New Roman"/>
          <w:color w:val="auto"/>
          <w:sz w:val="32"/>
          <w:szCs w:val="32"/>
        </w:rPr>
        <w:t>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管理发放，各地农业农村部门要严格按照我省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管理要求做好补贴兑付工作。</w:t>
      </w:r>
    </w:p>
    <w:p w14:paraId="34BD9245">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二、支持种业发展</w:t>
      </w:r>
    </w:p>
    <w:p w14:paraId="5E0956BD">
      <w:pPr>
        <w:keepNext w:val="0"/>
        <w:keepLines w:val="0"/>
        <w:pageBreakBefore w:val="0"/>
        <w:widowControl w:val="0"/>
        <w:kinsoku/>
        <w:wordWrap/>
        <w:overflowPunct/>
        <w:topLinePunct w:val="0"/>
        <w:autoSpaceDE/>
        <w:autoSpaceDN/>
        <w:bidi w:val="0"/>
        <w:adjustRightInd/>
        <w:snapToGrid/>
        <w:spacing w:line="630" w:lineRule="exact"/>
        <w:ind w:firstLine="641"/>
        <w:jc w:val="both"/>
        <w:textAlignment w:val="auto"/>
        <w:rPr>
          <w:rFonts w:hint="default" w:ascii="Times New Roman" w:hAnsi="Times New Roman" w:eastAsia="方正仿宋_GBK" w:cs="Times New Roman"/>
          <w:b w:val="0"/>
          <w:bCs w:val="0"/>
          <w:color w:val="auto"/>
          <w:sz w:val="32"/>
          <w:szCs w:val="32"/>
          <w:lang w:val="en" w:eastAsia="zh-CN"/>
        </w:rPr>
      </w:pPr>
      <w:r>
        <w:rPr>
          <w:rFonts w:hint="default" w:ascii="Times New Roman" w:hAnsi="Times New Roman" w:eastAsia="方正楷体_GBK" w:cs="Times New Roman"/>
          <w:b w:val="0"/>
          <w:bCs w:val="0"/>
          <w:color w:val="auto"/>
          <w:sz w:val="32"/>
          <w:szCs w:val="32"/>
          <w:lang w:val="en" w:eastAsia="zh-CN"/>
        </w:rPr>
        <w:t>（一）支持农业</w:t>
      </w:r>
      <w:r>
        <w:rPr>
          <w:rFonts w:hint="default" w:ascii="Times New Roman" w:hAnsi="Times New Roman" w:eastAsia="方正楷体_GBK" w:cs="Times New Roman"/>
          <w:b w:val="0"/>
          <w:bCs w:val="0"/>
          <w:color w:val="auto"/>
          <w:kern w:val="0"/>
          <w:sz w:val="32"/>
          <w:szCs w:val="32"/>
          <w:lang w:val="en-US" w:eastAsia="zh-CN"/>
        </w:rPr>
        <w:t>种质资源保护。</w:t>
      </w:r>
      <w:r>
        <w:rPr>
          <w:rFonts w:hint="default" w:ascii="Times New Roman" w:hAnsi="Times New Roman" w:eastAsia="方正仿宋_GBK" w:cs="Times New Roman"/>
          <w:color w:val="auto"/>
          <w:sz w:val="32"/>
          <w:szCs w:val="32"/>
          <w:lang w:val="en" w:eastAsia="zh-CN"/>
        </w:rPr>
        <w:t>支持符合条件的国家级畜禽遗传资源保种场（区）、国家级农作物和农业微生物种质资源库（圃）开展农业种质资源保护，夯实种质资源基础。一是按照牛80万元/个、猪60万元/个、羊40万元/个、家禽20万元/个，支持我省9个国家级畜禽遗传资源保护场（区）。其中曲靖市1个（大河猪）、普洱市1个（瓢鸡）、西双版纳州2个（滇南小耳猪、茶花鸡）、楚雄州1个（撒坝猪）、保山市2个（槟榔江水牛、龙陵黄山羊）、怒江州1个（独龙牛）、迪庆州1个（藏猪）。二是按照农作物60万元/个、中期库和微生物（食用菌）50万元/个，支持我省5个国家级农作物、1个中期库、1个农业环境微生物、1个食用菌种质资源圃（库）。其中省农科院园艺所1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国家云南特有果树及砧木种质资源圃（昆明）</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、甘蔗所1个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国家甘蔗种质资源圃（开远）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、茶叶所1个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国家大叶茶树种质资源圃（勐海）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、热区所1个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国家干热区特色作物种质资源圃（元谋）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、生物所3个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国家高原野生稻种质资源圃（昆明）、国家食用菌种质资源库（云南）、国家云贵高原特色作物种质资源中期库</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；云南大学1个</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国家农业环境微生物种质资源库（云南）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 w:eastAsia="zh-CN"/>
        </w:rPr>
        <w:t>。</w:t>
      </w:r>
    </w:p>
    <w:p w14:paraId="1D7FD339">
      <w:pPr>
        <w:keepNext w:val="0"/>
        <w:keepLines w:val="0"/>
        <w:pageBreakBefore w:val="0"/>
        <w:widowControl w:val="0"/>
        <w:numPr>
          <w:ilvl w:val="0"/>
          <w:numId w:val="0"/>
        </w:numPr>
        <w:kinsoku/>
        <w:wordWrap/>
        <w:overflowPunct/>
        <w:topLinePunct w:val="0"/>
        <w:autoSpaceDE/>
        <w:autoSpaceDN/>
        <w:bidi w:val="0"/>
        <w:adjustRightInd/>
        <w:snapToGrid/>
        <w:spacing w:line="630" w:lineRule="exact"/>
        <w:jc w:val="both"/>
        <w:textAlignment w:val="auto"/>
        <w:rPr>
          <w:rFonts w:hint="default" w:ascii="Times New Roman" w:hAnsi="Times New Roman" w:eastAsia="方正仿宋_GBK" w:cs="Times New Roman"/>
          <w:b w:val="0"/>
          <w:bCs/>
          <w:color w:val="auto"/>
          <w:kern w:val="0"/>
          <w:sz w:val="32"/>
          <w:szCs w:val="32"/>
          <w:lang w:val="en" w:eastAsia="zh-CN"/>
        </w:rPr>
      </w:pPr>
      <w:r>
        <w:rPr>
          <w:rFonts w:hint="default" w:ascii="Times New Roman" w:hAnsi="Times New Roman" w:eastAsia="方正仿宋_GBK" w:cs="Times New Roman"/>
          <w:b w:val="0"/>
          <w:bCs w:val="0"/>
          <w:color w:val="auto"/>
          <w:kern w:val="0"/>
          <w:sz w:val="32"/>
          <w:szCs w:val="32"/>
          <w:lang w:val="en" w:eastAsia="zh-CN"/>
        </w:rPr>
        <w:t>　　</w:t>
      </w:r>
      <w:r>
        <w:rPr>
          <w:rFonts w:hint="default" w:ascii="Times New Roman" w:hAnsi="Times New Roman" w:eastAsia="方正楷体_GBK" w:cs="Times New Roman"/>
          <w:b w:val="0"/>
          <w:bCs w:val="0"/>
          <w:color w:val="auto"/>
          <w:kern w:val="0"/>
          <w:sz w:val="32"/>
          <w:szCs w:val="32"/>
          <w:lang w:val="en" w:eastAsia="zh-CN"/>
        </w:rPr>
        <w:t>（二）支持种畜禽生产性能测定。</w:t>
      </w:r>
      <w:r>
        <w:rPr>
          <w:rFonts w:hint="default" w:ascii="Times New Roman" w:hAnsi="Times New Roman" w:eastAsia="方正仿宋_GBK" w:cs="Times New Roman"/>
          <w:color w:val="auto"/>
          <w:kern w:val="0"/>
          <w:sz w:val="32"/>
          <w:szCs w:val="32"/>
          <w:lang w:val="en" w:eastAsia="zh-CN"/>
        </w:rPr>
        <w:t>支持符合条件的国家畜禽核心育种场、种公畜站、奶牛生产性能测定中心等开展种畜禽生产性能测定工作，加强数据报送、分析评估和共享利用，加快提升重要畜禽品种生产性能水平。按照国家肉牛核心育种场1000元/头，国家肉羊核心育种场400元/只，国家生猪核心育种场200元/只，国家奶牛核心育种场500元/只，奶牛生产性能测定中心70元/只，支持我省8个国家级核心育种场和1个奶牛生产性能测定中心完成国家下达的种畜禽生产性能测定任务。其中昆明市1个（1个奶牛DHI中心）、红河州2个（肉羊核心育种场1个、奶牛核心育种场1个）、文山州1个（肉牛核心育种场）、保山市2个（1个肉牛核心育种场、1个肉羊核心育种场）、云南省草地动物科学研究院1个（肉牛核心育种场）、云南农业技术职业学院1个（1个肉牛核心育种场）、云南省种羊繁育推广中心1个（肉牛核心育种场）。</w:t>
      </w:r>
    </w:p>
    <w:p w14:paraId="1DDC8F63">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三、加大良种良法技术推广力度</w:t>
      </w:r>
    </w:p>
    <w:p w14:paraId="4C9EF379">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rPr>
        <w:t>（一）实施糖料蔗良种良法补助政策。</w:t>
      </w:r>
      <w:r>
        <w:rPr>
          <w:rFonts w:hint="default" w:ascii="Times New Roman" w:hAnsi="Times New Roman" w:eastAsia="方正仿宋_GBK" w:cs="Times New Roman"/>
          <w:color w:val="auto"/>
          <w:sz w:val="32"/>
          <w:szCs w:val="32"/>
        </w:rPr>
        <w:t>继续对糖料蔗商品化脱毒种苗和普通健康种苗实行差异化补贴，新植糖料蔗健康种苗每亩补助不超过330元，新植糖料蔗脱毒种苗（采用温水脱毒技术处理的脱毒种苗或组培苗）每亩补助不超过600元，引导加快糖料蔗脱毒健康种苗推广，促进提高糖料蔗单产和糖分。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宜联则联、宜分则分，利益联结、各方兼顾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同步推进联合机收、分步式机收，优化实施差异化作业补贴，机械化联合收获和分布式机械收获每亩补助不超过65元，通过机收作业补贴、奖补等方式，同步推进联合机收和分布式机收；宿根保墒管理技术每亩补助不超过100元，推进宿根处理和全膜（宽膜）覆盖、旧膜回收等技术集成；新植糖料蔗机械化深翻开沟及标准化种植（1.1米及以上行距）每亩补助不超过130元，引导种植行距向宜机收方向发展，有效调动机手、蔗农、糖厂等各方推进机收积极性，加快提升糖料蔗生产机械化水平。</w:t>
      </w:r>
      <w:r>
        <w:rPr>
          <w:rFonts w:hint="eastAsia" w:ascii="Times New Roman" w:hAnsi="Times New Roman" w:eastAsia="方正仿宋_GBK" w:cs="Times New Roman"/>
          <w:color w:val="auto"/>
          <w:sz w:val="32"/>
          <w:szCs w:val="32"/>
          <w:lang w:eastAsia="zh-CN"/>
        </w:rPr>
        <w:t>该项目资金</w:t>
      </w:r>
      <w:r>
        <w:rPr>
          <w:rFonts w:hint="default" w:ascii="Times New Roman" w:hAnsi="Times New Roman" w:eastAsia="方正仿宋_GBK" w:cs="Times New Roman"/>
          <w:color w:val="auto"/>
          <w:sz w:val="32"/>
          <w:szCs w:val="32"/>
        </w:rPr>
        <w:t>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管理发放，各地农业农村部门要严格按照我省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管理要求做好补贴兑付工作。</w:t>
      </w:r>
    </w:p>
    <w:p w14:paraId="39F8545D">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p>
    <w:p w14:paraId="06E952B3">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楷体_GBK" w:cs="Times New Roman"/>
          <w:b w:val="0"/>
          <w:bCs w:val="0"/>
          <w:color w:val="auto"/>
          <w:sz w:val="32"/>
          <w:szCs w:val="32"/>
          <w:highlight w:val="none"/>
        </w:rPr>
        <w:t>（二）实施天然橡胶良种良法补助。</w:t>
      </w:r>
      <w:r>
        <w:rPr>
          <w:rFonts w:hint="default" w:ascii="Times New Roman" w:hAnsi="Times New Roman" w:eastAsia="方正仿宋_GBK" w:cs="Times New Roman"/>
          <w:color w:val="auto"/>
          <w:sz w:val="32"/>
          <w:szCs w:val="32"/>
          <w:highlight w:val="none"/>
        </w:rPr>
        <w:t>结合我省天然橡胶产业发展和申报情况，2026年支持6个州（市）的13个县（市）和1个乡镇开展天然橡胶良种良法更新改造和抚管补助。支持对象为西双版纳、普洱、临沧、红河、德宏、昆明等主要植胶州（市）天然橡胶种植主体，包括胶农、种植企业及专业合作社等实际天然橡胶种植主体。按照国家下达任务及资金情况，对低产低质更新改造胶园，补助植胶主体800元/亩；对列入2022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2025年天然橡胶良种良法项目更新改造任务且已实际完成定植并继续抚管的胶园，给予植胶主体300元/亩抚管补助。天然橡胶良种良法项目不得与同一年度天然橡胶林业补贴补助项目、天然橡胶生产能力建设提升项目在内容上出现交叉重复。各地天然橡胶管理部门要严格按照我省“一卡通”管理要求做好天然橡胶良种良法补贴兑付工作。各地要及时分解目标任务，强化项目管理，制定具体实施方案；定期跟踪督导，督促填报“转移支付管理平台”，阶段性梳理项目执行情况，及时发现并纠正实施过程存在的问题，确保绩效如期实现；认真开展项目考核、绩效评价和结果应用。</w:t>
      </w:r>
    </w:p>
    <w:p w14:paraId="01073DD1">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四、推进农业产业融合发展</w:t>
      </w:r>
    </w:p>
    <w:p w14:paraId="77C17F2B">
      <w:pPr>
        <w:keepNext w:val="0"/>
        <w:keepLines w:val="0"/>
        <w:pageBreakBefore w:val="0"/>
        <w:kinsoku/>
        <w:wordWrap/>
        <w:overflowPunct/>
        <w:topLinePunct w:val="0"/>
        <w:bidi w:val="0"/>
        <w:snapToGrid/>
        <w:spacing w:line="630" w:lineRule="exact"/>
        <w:ind w:firstLine="640"/>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Cs/>
          <w:color w:val="auto"/>
          <w:sz w:val="32"/>
          <w:szCs w:val="32"/>
          <w:lang w:eastAsia="zh-CN"/>
        </w:rPr>
        <w:t>（一）实施国家现代农业产业园建设。</w:t>
      </w:r>
      <w:r>
        <w:rPr>
          <w:rFonts w:hint="default" w:ascii="Times New Roman" w:hAnsi="Times New Roman" w:eastAsia="方正仿宋_GBK" w:cs="Times New Roman"/>
          <w:color w:val="auto"/>
        </w:rPr>
        <w:t>一是推进保山市隆阳区、弥渡县国家现代农业产业园等本年度立项项目实施，分别围绕咖啡、生猪和蔬菜产业全产业链中制约产业发展的</w:t>
      </w:r>
      <w:r>
        <w:rPr>
          <w:rFonts w:hint="eastAsia" w:ascii="Times New Roman" w:hAnsi="Times New Roman" w:eastAsia="方正仿宋_GBK" w:cs="Times New Roman"/>
          <w:color w:val="auto"/>
          <w:lang w:val="en-US" w:eastAsia="zh-CN"/>
        </w:rPr>
        <w:t>瓶颈和</w:t>
      </w:r>
      <w:r>
        <w:rPr>
          <w:rFonts w:hint="default" w:ascii="Times New Roman" w:hAnsi="Times New Roman" w:eastAsia="方正仿宋_GBK" w:cs="Times New Roman"/>
          <w:color w:val="auto"/>
        </w:rPr>
        <w:t>痛点问题，主要实施现代化种养殖基地建设、产业融合发展、科技装备支撑、农业绿色发展、培育壮大市场主体、联农带农益农工程等项目，着力夯实产业发展基础，促进一产提质升级，加快二产效能提升，强化三产服务拓展，激活发展新质生产力，促进咖啡、生猪和蔬菜产业全产业链高质量发展。二是推动寻甸、元谋、鹤庆、宣威、勐腊、永胜6个产业园在建项目建设，围绕主导产业全产业链提质升级、一二三产融合发展、完善联农带农机制等方面推进实施。各项目实施地应结合实际细化实化联农带农机制，通过收益分红</w:t>
      </w: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股份合作、带动就业等方式切实让农民受益。</w:t>
      </w:r>
    </w:p>
    <w:p w14:paraId="7F8C960B">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（二）实施优势特色产业集群项目。</w:t>
      </w:r>
      <w:r>
        <w:rPr>
          <w:rFonts w:hint="default" w:ascii="Times New Roman" w:hAnsi="Times New Roman" w:eastAsia="方正仿宋_GBK" w:cs="Times New Roman"/>
          <w:color w:val="auto"/>
          <w:sz w:val="32"/>
          <w:szCs w:val="32"/>
          <w:highlight w:val="none"/>
          <w:lang w:eastAsia="zh-CN"/>
        </w:rPr>
        <w:t>以促进乡村产业融合发展为重点，结合云南农业现代化行动，统筹布局新建鲜切花、小浆果优势特色产业集群，续建三七、奶业、天然橡胶优势特色产业集群，聚焦主导产业，突出全产业链发展，补齐短板弱项，优化产业布局，统筹发展科技农业、绿色农业、质量农业、品牌农业，切实提升项目建设水平和质量。加强联农带农富农机制建设，健全完善联农带农机制，示范引领带动乡村产业高质量发展，为全面推进乡村振兴、加快农业农村现代化提供有力支撑</w:t>
      </w:r>
      <w:r>
        <w:rPr>
          <w:rFonts w:hint="eastAsia" w:ascii="Times New Roman" w:hAnsi="Times New Roman" w:eastAsia="方正仿宋_GBK" w:cs="Times New Roman"/>
          <w:color w:val="auto"/>
          <w:sz w:val="32"/>
          <w:szCs w:val="32"/>
          <w:lang w:eastAsia="zh-CN"/>
        </w:rPr>
        <w:t>。各项目实施地应结合实际细化实化联农带农机制，通过收益分红、股份合作、带动就业等方式切实让农民受益。</w:t>
      </w:r>
      <w:bookmarkStart w:id="0" w:name="_GoBack"/>
      <w:bookmarkEnd w:id="0"/>
    </w:p>
    <w:p w14:paraId="211CA34D">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（三）实施产业强镇项目。</w:t>
      </w:r>
      <w:r>
        <w:rPr>
          <w:rFonts w:hint="default" w:ascii="Times New Roman" w:hAnsi="Times New Roman" w:eastAsia="方正仿宋_GBK" w:cs="Times New Roman"/>
          <w:color w:val="auto"/>
          <w:sz w:val="32"/>
          <w:szCs w:val="32"/>
          <w:lang w:eastAsia="zh-CN"/>
        </w:rPr>
        <w:t>继续推进昆明市宜良县马街镇、红河州元阳县牛角寨镇、大理州</w:t>
      </w:r>
      <w:r>
        <w:rPr>
          <w:rFonts w:hint="eastAsia" w:ascii="Times New Roman" w:hAnsi="Times New Roman" w:eastAsia="方正仿宋_GBK" w:cs="Times New Roman"/>
          <w:color w:val="auto"/>
          <w:sz w:val="32"/>
          <w:szCs w:val="32"/>
          <w:lang w:val="en-US" w:eastAsia="zh-CN"/>
        </w:rPr>
        <w:t>大</w:t>
      </w:r>
      <w:r>
        <w:rPr>
          <w:rFonts w:hint="default" w:ascii="Times New Roman" w:hAnsi="Times New Roman" w:eastAsia="方正仿宋_GBK" w:cs="Times New Roman"/>
          <w:color w:val="auto"/>
          <w:sz w:val="32"/>
          <w:szCs w:val="32"/>
          <w:lang w:eastAsia="zh-CN"/>
        </w:rPr>
        <w:t>理市喜洲镇、丽江市宁蒗县新营盘乡、迪庆州香格里拉市小中甸乡、曲靖市宣威市倘塘镇、保山市昌宁县翁堵镇、文山州西畴县兴街镇、德宏州陇川县景罕镇乡、临沧市永德县永康镇10个产业强镇二期项目建设。新建昆明市寻甸县倘甸镇、曲靖市沾益区盘江镇、德宏州瑞丽市勐秀乡、丽江市古城区七河镇、版纳州景洪市勐龙镇、玉溪市元江县曼来镇、保山市隆阳区丙麻乡、临沧市凤庆县营盘镇、文山州麻栗坡县猛硐瑶族乡建设9个产业强镇。</w:t>
      </w:r>
      <w:r>
        <w:rPr>
          <w:rFonts w:hint="eastAsia" w:ascii="Times New Roman" w:hAnsi="Times New Roman" w:eastAsia="方正仿宋_GBK" w:cs="Times New Roman"/>
          <w:color w:val="auto"/>
          <w:sz w:val="32"/>
          <w:szCs w:val="32"/>
          <w:lang w:eastAsia="zh-CN"/>
        </w:rPr>
        <w:t>各项目实施地应结合实际细化实化联农带农机制，通过收益分红、股份合作、带动就业等方式切实让农民受益。</w:t>
      </w:r>
    </w:p>
    <w:p w14:paraId="21305D19">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五、支持畜牧业发展</w:t>
      </w:r>
    </w:p>
    <w:p w14:paraId="26E30AEA">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（一）支持畜禽养殖提质增效</w:t>
      </w:r>
    </w:p>
    <w:p w14:paraId="35FC6BC3">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1.实施肉牛肉羊增量提质项目。支持富民县等18个县按照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先增后补、见犊补母</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方式，对饲养基础母牛、选用优秀种公牛冻精配种并扩大养殖规模的养殖场（户）给予补助；对购买使用优良种公畜繁殖的牦牛和肉羊养殖场（户）给予补助。全省完成基础母牛补助8.3万头、牦牛补助200头。</w:t>
      </w:r>
    </w:p>
    <w:p w14:paraId="78DBC2AB">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2.生猪良种补贴项目。对东川</w:t>
      </w:r>
      <w:r>
        <w:rPr>
          <w:rFonts w:hint="eastAsia"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lang w:val="en-US" w:eastAsia="zh-CN"/>
        </w:rPr>
        <w:t>等29个县购买使用良种猪精液开展人工授精的中小养殖场户给予适当补助，种猪场和自有种公猪的规模场不纳入补助范围。全省完成58.5万头生猪良种补贴。</w:t>
      </w:r>
    </w:p>
    <w:p w14:paraId="2AFE2413">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3.蜂产业发展项目。支持临翔区蜂授粉技术推广和市场培育，选择2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3种农作物开展连片高效蜂授粉示范创建，开展蜂授粉技术推广和授粉专业化服务。全省完成农作物高效授粉面积1万亩。</w:t>
      </w:r>
    </w:p>
    <w:p w14:paraId="23211D84">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养殖环节病死牛羊无害化处理项目。对2025年度全省范围内养殖环节发生的病死牛、病死羊进行无害化处理的主体给予补助。补助资金用于无害化处理过程中产生的运输、消毒、设施运行、人工及物料消耗等成本支出。</w:t>
      </w:r>
      <w:r>
        <w:rPr>
          <w:rFonts w:hint="eastAsia" w:ascii="Times New Roman" w:hAnsi="Times New Roman" w:eastAsia="方正仿宋_GBK" w:cs="Times New Roman"/>
          <w:color w:val="auto"/>
          <w:sz w:val="32"/>
          <w:szCs w:val="32"/>
          <w:lang w:eastAsia="zh-CN"/>
        </w:rPr>
        <w:t>该项目</w:t>
      </w:r>
      <w:r>
        <w:rPr>
          <w:rFonts w:hint="default" w:ascii="Times New Roman" w:hAnsi="Times New Roman" w:eastAsia="方正仿宋_GBK" w:cs="Times New Roman"/>
          <w:color w:val="auto"/>
          <w:sz w:val="32"/>
          <w:szCs w:val="32"/>
        </w:rPr>
        <w:t>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管理平台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rPr>
        <w:t>养殖环节病死猪无害化处理补助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项目发放，各地农业农村部门要严格按照我省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管理要求做好补贴兑付工作。</w:t>
      </w:r>
    </w:p>
    <w:p w14:paraId="0521036F">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重点流域散养户粪污治理及示范推广项目。支持大关县、金平县、景谷县、梁河县、盈江县、陇川县、香格里拉市、永德县散养户畜禽粪污治理，建设堆粪场、贮存池等畜禽粪污收集处置设施，提高畜禽粪污综合利用率。支持省畜牧兽医科学院开展散养户绿色高效养殖关键技术研究及示范。</w:t>
      </w:r>
    </w:p>
    <w:p w14:paraId="3BA9B3D5">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畜禽粪污处理有限空间作业风险防范排查。支持昆明、红河、普洱、大理、保山、丽江、临沧州（市）本级对辖区内养殖场户畜禽养殖安全生产风险排查。重点排查生产经营主体安全生产措施落实情况、安全检查挂包工作开展情况、安全生产法律法规宣传贯彻情况；养殖场（户）沼气池、粪污收集池、青贮窖、储料仓等有限空间作业区域风险隐患。</w:t>
      </w:r>
    </w:p>
    <w:p w14:paraId="68851123">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7.畜禽粪污抽排社会化服务组织试点项目。支持建水、弥勒、禄丰、隆阳、腾冲5个县组织社会化服务组织开展安全培训与应急演练，配备畜禽粪污抽排安全防护设施设备，探索开展畜禽粪污抽排还田补助。</w:t>
      </w:r>
    </w:p>
    <w:p w14:paraId="39D052B5">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8.落实生猪产能综合调控措施。支持宜良县等40个生猪生产重点县（市、区）落实生猪产能综合调控措施，稳定生猪产能在合理范围。</w:t>
      </w:r>
    </w:p>
    <w:p w14:paraId="45E8EEED">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（二）支持优质饲草料生产</w:t>
      </w:r>
    </w:p>
    <w:p w14:paraId="64052118">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1.实施优质高产苜蓿种植项目。支持陆良县、宣威市、砚山县、双柏县、永仁县、昌宁县、玉龙县7个县（市、区）推广优良苜蓿品种，扩大优质高产苜蓿种植面积。全省完成优质高产苜蓿种植1.2万亩。</w:t>
      </w:r>
    </w:p>
    <w:p w14:paraId="7F23C5AF">
      <w:pPr>
        <w:keepNext w:val="0"/>
        <w:keepLines w:val="0"/>
        <w:pageBreakBefore w:val="0"/>
        <w:kinsoku/>
        <w:wordWrap/>
        <w:overflowPunct/>
        <w:topLinePunct w:val="0"/>
        <w:bidi w:val="0"/>
        <w:snapToGrid/>
        <w:spacing w:line="63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实施粮改饲项目。支持宜良县等49个县（市、区）优质饲草及区域特色饲草利用，收储使用青贮玉米、苜蓿、饲用燕麦、黑麦草、饲用小黑麦等优质饲草，因地制宜探索粮食作物秸秆与优质饲草混贮利用。全省完成粮改饲面积59万亩。</w:t>
      </w:r>
    </w:p>
    <w:p w14:paraId="100F612A">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（三）奶业养加一体化发展</w:t>
      </w:r>
    </w:p>
    <w:p w14:paraId="4234CACE">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支持晋宁区等8个县（区）支持奶牛规模养殖场自办乳制品加工或已办加工的奶牛养殖场升级改造。乳企自有牧场不在本年度项目支持范围内。全省完成办加工养殖主体生鲜乳加工量26000吨。</w:t>
      </w:r>
    </w:p>
    <w:p w14:paraId="3D7CB1E3">
      <w:pPr>
        <w:keepNext w:val="0"/>
        <w:keepLines w:val="0"/>
        <w:pageBreakBefore w:val="0"/>
        <w:widowControl w:val="0"/>
        <w:kinsoku/>
        <w:wordWrap/>
        <w:overflowPunct/>
        <w:topLinePunct w:val="0"/>
        <w:autoSpaceDE/>
        <w:autoSpaceDN/>
        <w:bidi w:val="0"/>
        <w:snapToGrid/>
        <w:spacing w:line="630" w:lineRule="exact"/>
        <w:ind w:firstLine="640" w:firstLineChars="200"/>
        <w:jc w:val="both"/>
        <w:textAlignment w:val="auto"/>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六、支持渔业发展</w:t>
      </w:r>
    </w:p>
    <w:p w14:paraId="13C74E56">
      <w:pPr>
        <w:keepNext w:val="0"/>
        <w:keepLines w:val="0"/>
        <w:pageBreakBefore w:val="0"/>
        <w:widowControl w:val="0"/>
        <w:kinsoku/>
        <w:wordWrap/>
        <w:overflowPunct/>
        <w:topLinePunct w:val="0"/>
        <w:autoSpaceDE/>
        <w:autoSpaceDN/>
        <w:bidi w:val="0"/>
        <w:snapToGrid/>
        <w:spacing w:line="630" w:lineRule="exact"/>
        <w:ind w:firstLine="640" w:firstLineChars="200"/>
        <w:jc w:val="both"/>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 w:eastAsia="zh-CN"/>
        </w:rPr>
        <w:t>提升现代渔业设施设备水平，</w:t>
      </w:r>
      <w:r>
        <w:rPr>
          <w:rFonts w:hint="default" w:ascii="Times New Roman" w:hAnsi="Times New Roman" w:eastAsia="方正仿宋_GBK" w:cs="Times New Roman"/>
          <w:color w:val="auto"/>
          <w:spacing w:val="0"/>
          <w:sz w:val="32"/>
          <w:szCs w:val="32"/>
          <w:lang w:val="en" w:eastAsia="zh-CN"/>
        </w:rPr>
        <w:t>支持宜良县、屏边县、景洪市、勐海县、姚安县、禄丰市、云龙县、昌宁县、永胜县、宁蒗县和泸水市开展现代渔业装备设施建设，全省绩效目标为补助水产品初加工和冷藏保鲜等设施设备100台（套）。单个项目主体补助上限不超过总造价的30%，且补助总额不超过300万元。通过实施现代渔业装备设施项目，切实推动渔业经济发展，提升渔业总产值，降低渔业一</w:t>
      </w:r>
      <w:r>
        <w:rPr>
          <w:rFonts w:hint="eastAsia" w:ascii="Times New Roman" w:hAnsi="Times New Roman" w:eastAsia="方正仿宋_GBK" w:cs="Times New Roman"/>
          <w:color w:val="auto"/>
          <w:spacing w:val="0"/>
          <w:sz w:val="32"/>
          <w:szCs w:val="32"/>
          <w:lang w:val="en-US" w:eastAsia="zh-CN"/>
        </w:rPr>
        <w:t>产</w:t>
      </w:r>
      <w:r>
        <w:rPr>
          <w:rFonts w:hint="default" w:ascii="Times New Roman" w:hAnsi="Times New Roman" w:eastAsia="方正仿宋_GBK" w:cs="Times New Roman"/>
          <w:color w:val="auto"/>
          <w:spacing w:val="0"/>
          <w:sz w:val="32"/>
          <w:szCs w:val="32"/>
          <w:lang w:val="en" w:eastAsia="zh-CN"/>
        </w:rPr>
        <w:t>产值占比。</w:t>
      </w:r>
    </w:p>
    <w:p w14:paraId="593E73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A4FFC"/>
    <w:rsid w:val="07EA4FFC"/>
    <w:rsid w:val="3A301D44"/>
    <w:rsid w:val="57CC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556"/>
    </w:pPr>
    <w:rPr>
      <w:rFonts w:ascii="??_GB2312" w:eastAsia="Times New Roman" w:cs="??_GB2312"/>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4722</Words>
  <Characters>4803</Characters>
  <Lines>0</Lines>
  <Paragraphs>0</Paragraphs>
  <TotalTime>2</TotalTime>
  <ScaleCrop>false</ScaleCrop>
  <LinksUpToDate>false</LinksUpToDate>
  <CharactersWithSpaces>4805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2026-07-01T03:20:00Z</dcterms:created>
  <dc:creator>zyh</dc:creator>
  <cp:lastModifiedBy>zyh</cp:lastModifiedBy>
  <dcterms:modified xsi:type="dcterms:W3CDTF">2026-07-01T07:14:26Z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65D16F5F509A406DA55FA9FE106C9285_13</vt:lpwstr>
  </property>
  <property fmtid="{D5CDD505-2E9C-101B-9397-08002B2CF9AE}" pid="4" name="KSOTemplateDocerSaveRecord">
    <vt:lpwstr>eyJoZGlkIjoiYmI0OTBhMzA4Zjg4OTA2ZTJjZTc2MmQ4ZWY3OWViNDMiLCJ1c2VySWQiOiI0MTMxNzYxNDQifQ==</vt:lpwstr>
  </property>
</Properties>
</file>