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EFF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0" w:firstLineChars="0"/>
        <w:contextualSpacing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附件5</w:t>
      </w:r>
    </w:p>
    <w:p w14:paraId="1185522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640"/>
        <w:contextualSpacing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32572C2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contextualSpacing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农业生态资源保护资金项目实施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方案</w:t>
      </w:r>
    </w:p>
    <w:p w14:paraId="1D8BE23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640"/>
        <w:contextualSpacing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3C9B631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640"/>
        <w:contextualSpacing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一、推进地膜科学使用回收</w:t>
      </w:r>
    </w:p>
    <w:p w14:paraId="4161659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640" w:firstLineChars="200"/>
        <w:contextualSpacing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为进一步健全废旧地膜污染治理长效机制，全面提升地膜科学使用水平，全省将继续以县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市、区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为实施主体，推进相关工作。一是推广加厚高强度地膜。聚焦玉米、蔬菜、甘蔗、马铃薯等重点覆膜作物，加大推广应用力度。严格执行国家标 准，原则上推广使用厚度不低于0.015毫米、各项物理性能指标符合GB13735—2017要求的加厚高强度地膜，从源头保障可回收性。二是稳妥推进全生物降解地膜替代。针对马铃薯、甘蔗、大蒜等适宜作物，支持各地有序开展符合GB/T35795—2017   国家标准的全生物降解地膜试验示范与应用，逐步减少传统  地膜残留。</w:t>
      </w:r>
    </w:p>
    <w:p w14:paraId="219CA97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640"/>
        <w:contextualSpacing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二、促进农作物秸秆综合利用</w:t>
      </w:r>
    </w:p>
    <w:p w14:paraId="289CBAA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640"/>
        <w:contextualSpacing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OLE_LINK3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为切实提高农作物秸秆综合利用的质量和效益，助力全省农业绿色高质量发展，结合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中央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、国务院“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三农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重点任务部署，扎实推进秸秆综合利用。一是抓好重点县建设。县级农业农村部门要立足当地资源禀赋和产业实际，科学制定实施方案，明确技术路径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和支持对象。二是强化过程监管。州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级农业农村部门要切实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行监管职责，加强对项目实施全过程的业务指导和绩效监控，及时掌握工作进度与资金执行情况，确保辖区内秸秆综合利用水平持续巩固提升，按期保质完成年度目标任务。</w:t>
      </w:r>
    </w:p>
    <w:p w14:paraId="0B49979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640"/>
        <w:contextualSpacing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三、实施草原禁牧补助与草畜平衡奖励</w:t>
      </w:r>
    </w:p>
    <w:bookmarkEnd w:id="0"/>
    <w:p w14:paraId="392D790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640"/>
        <w:contextualSpacing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实施第四轮草原生态保护补助奖励政策，在我省14个州（市）的103个县（市、区）实施，政策资金用于支持实施草原禁牧、推动草畜平衡。一是草原禁牧补助。全省实施禁牧草原1488.05万亩，每亩补助8.25元。二是草畜平衡奖励。全省实施草畜平衡奖励7872.78万亩，每亩补助2.75元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该项资金通过“一卡通”管理发放，各地农业农村部门要严格按照“一卡通”管理要求做好资金兑付工作。</w:t>
      </w:r>
    </w:p>
    <w:p w14:paraId="6616AA9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630" w:lineRule="exact"/>
        <w:ind w:firstLine="640"/>
        <w:contextualSpacing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四、渔业资源保护</w:t>
      </w:r>
    </w:p>
    <w:p w14:paraId="0B8F348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3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按照《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" w:eastAsia="zh-CN"/>
        </w:rPr>
        <w:t>国务院关于印发〈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中国水生生物资源养护行动纲要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" w:eastAsia="zh-CN"/>
        </w:rPr>
        <w:t>〉的通知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》（国发〔2006〕9号）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" w:eastAsia="zh-CN"/>
        </w:rPr>
        <w:t>以及农业农村部渔业渔政管理局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《关于做好2026年中央财政水生生物增殖放流项目工作的通知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（农渔资环函〔2026〕80号）要求，结合全省九大高原湖泊和长江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十年禁渔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等水生生物资源养护重点工作，2026年渔业资源保护水生生物增殖放流工作统筹兼顾生态和效益、质量和数量并重原则，优化调整放流物种、严格选择供苗单位、科学投放放流品种、严格把控放流苗种质量、科学选择放流水域，以及加强活动执法监督和做好放流活动效果评估等，完成年度水生生物增殖放流目标：增殖放流规模为1920万尾，其中珍贵濒危物种220万尾、经济物种1700万尾，重要经济物种放流资源贡献率≥2%、增殖放流区域内抽样调查满意度≥90%。通过增殖放流项目实施，增加各地区区域性鱼类、濒危保护鱼类的数量，扩大群体规模，实现改善放流水域生态环境、加快恢复渔业种群资源和可持续发展等目标。</w:t>
      </w:r>
    </w:p>
    <w:p w14:paraId="5EB2F1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71829"/>
    <w:rsid w:val="1CA71829"/>
    <w:rsid w:val="5987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??_GB2312" w:eastAsia="Times New Roman" w:cs="??_GB2312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1071</Words>
  <Characters>1146</Characters>
  <Lines>0</Lines>
  <Paragraphs>0</Paragraphs>
  <TotalTime>0</TotalTime>
  <ScaleCrop>false</ScaleCrop>
  <LinksUpToDate>false</LinksUpToDate>
  <CharactersWithSpaces>1154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2026-07-01T03:19:00Z</dcterms:created>
  <dc:creator>zyh</dc:creator>
  <cp:lastModifiedBy>zyh</cp:lastModifiedBy>
  <dcterms:modified xsi:type="dcterms:W3CDTF">2026-07-01T03:23:04Z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3321A540A19A47108B57D2CDACFA7A7B_11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