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92822">
      <w:pPr>
        <w:pStyle w:val="13"/>
        <w:spacing w:line="360" w:lineRule="auto"/>
        <w:jc w:val="center"/>
        <w:outlineLvl w:val="0"/>
        <w:rPr>
          <w:rFonts w:hint="eastAsia" w:ascii="仿宋_GB2312" w:hAnsi="仿宋_GB2312" w:eastAsia="仿宋_GB2312" w:cs="仿宋_GB2312"/>
          <w:b/>
          <w:sz w:val="48"/>
        </w:rPr>
      </w:pPr>
      <w:r>
        <w:rPr>
          <w:rFonts w:hint="eastAsia" w:ascii="仿宋_GB2312" w:hAnsi="仿宋_GB2312" w:eastAsia="仿宋_GB2312" w:cs="仿宋_GB2312"/>
          <w:b/>
          <w:sz w:val="48"/>
        </w:rPr>
        <w:t>云南省渔业科学研究院关于2026年</w:t>
      </w:r>
    </w:p>
    <w:p w14:paraId="1ED6FD26">
      <w:pPr>
        <w:pStyle w:val="13"/>
        <w:spacing w:line="360" w:lineRule="auto"/>
        <w:jc w:val="center"/>
        <w:outlineLvl w:val="0"/>
      </w:pPr>
      <w:r>
        <w:rPr>
          <w:rFonts w:hint="eastAsia" w:ascii="仿宋_GB2312" w:hAnsi="仿宋_GB2312" w:eastAsia="仿宋_GB2312" w:cs="仿宋_GB2312"/>
          <w:b/>
          <w:sz w:val="48"/>
          <w:lang w:val="en-US" w:eastAsia="zh-CN"/>
        </w:rPr>
        <w:t>书籍出版采购</w:t>
      </w:r>
      <w:r>
        <w:rPr>
          <w:rFonts w:ascii="仿宋_GB2312" w:hAnsi="仿宋_GB2312" w:eastAsia="仿宋_GB2312" w:cs="仿宋_GB2312"/>
          <w:b/>
          <w:sz w:val="48"/>
        </w:rPr>
        <w:t>评审标准</w:t>
      </w:r>
    </w:p>
    <w:p w14:paraId="75D40E70">
      <w:pPr>
        <w:pStyle w:val="13"/>
        <w:spacing w:line="360" w:lineRule="auto"/>
        <w:ind w:firstLine="560" w:firstLineChars="200"/>
        <w:rPr>
          <w:rFonts w:ascii="仿宋_GB2312" w:hAnsi="仿宋_GB2312" w:eastAsia="仿宋_GB2312" w:cs="仿宋_GB2312"/>
          <w:color w:val="auto"/>
          <w:sz w:val="28"/>
        </w:rPr>
      </w:pPr>
    </w:p>
    <w:p w14:paraId="59C17D42">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rPr>
        <w:t>第一条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为规范本次政府采购项目的评审活动，保障采购过程的公开、公平、公正，根据相关</w:t>
      </w:r>
      <w:r>
        <w:rPr>
          <w:rFonts w:hint="eastAsia" w:ascii="方正仿宋_GB2312" w:hAnsi="方正仿宋_GB2312" w:eastAsia="方正仿宋_GB2312" w:cs="方正仿宋_GB2312"/>
          <w:color w:val="000000"/>
          <w:sz w:val="28"/>
          <w:szCs w:val="28"/>
          <w:lang w:val="en-US" w:eastAsia="zh-CN"/>
        </w:rPr>
        <w:t>法律及规定</w:t>
      </w:r>
      <w:r>
        <w:rPr>
          <w:rFonts w:hint="eastAsia" w:ascii="方正仿宋_GB2312" w:hAnsi="方正仿宋_GB2312" w:eastAsia="方正仿宋_GB2312" w:cs="方正仿宋_GB2312"/>
          <w:color w:val="000000"/>
          <w:sz w:val="28"/>
          <w:szCs w:val="28"/>
        </w:rPr>
        <w:t>，结合本项目特点，制定本评审标准。</w:t>
      </w:r>
    </w:p>
    <w:p w14:paraId="3ECBD890">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rPr>
        <w:t>第二条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本评审标准适用于“</w:t>
      </w:r>
      <w:r>
        <w:rPr>
          <w:rFonts w:hint="eastAsia" w:ascii="方正仿宋_GB2312" w:hAnsi="方正仿宋_GB2312" w:eastAsia="方正仿宋_GB2312" w:cs="方正仿宋_GB2312"/>
          <w:color w:val="000000"/>
          <w:sz w:val="28"/>
          <w:szCs w:val="28"/>
          <w:lang w:val="en-US" w:eastAsia="zh-CN"/>
        </w:rPr>
        <w:t>云南省渔业科学研究院</w:t>
      </w:r>
      <w:r>
        <w:rPr>
          <w:rFonts w:hint="eastAsia" w:ascii="方正仿宋_GB2312" w:hAnsi="方正仿宋_GB2312" w:eastAsia="方正仿宋_GB2312" w:cs="方正仿宋_GB2312"/>
          <w:color w:val="000000"/>
          <w:sz w:val="28"/>
          <w:szCs w:val="28"/>
        </w:rPr>
        <w:t>2026年第</w:t>
      </w:r>
      <w:r>
        <w:rPr>
          <w:rFonts w:hint="eastAsia" w:ascii="方正仿宋_GB2312" w:hAnsi="方正仿宋_GB2312" w:eastAsia="方正仿宋_GB2312" w:cs="方正仿宋_GB2312"/>
          <w:color w:val="000000"/>
          <w:sz w:val="28"/>
          <w:szCs w:val="28"/>
          <w:lang w:val="en-US" w:eastAsia="zh-CN"/>
        </w:rPr>
        <w:t>书籍出版采购</w:t>
      </w:r>
      <w:r>
        <w:rPr>
          <w:rFonts w:hint="eastAsia" w:ascii="方正仿宋_GB2312" w:hAnsi="方正仿宋_GB2312" w:eastAsia="方正仿宋_GB2312" w:cs="方正仿宋_GB2312"/>
          <w:color w:val="000000"/>
          <w:sz w:val="28"/>
          <w:szCs w:val="28"/>
        </w:rPr>
        <w:t>”的比选评审活动。评审委员会将严格依据本标准和供应商提交的响应文件进行评审。</w:t>
      </w:r>
    </w:p>
    <w:p w14:paraId="2E813C66">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rPr>
        <w:t>第三条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评审活动应遵循以下基本原则：</w:t>
      </w:r>
    </w:p>
    <w:p w14:paraId="0E0A6694">
      <w:pPr>
        <w:pStyle w:val="13"/>
        <w:spacing w:line="36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000000"/>
          <w:sz w:val="28"/>
          <w:szCs w:val="28"/>
        </w:rPr>
        <w:t>1.</w:t>
      </w:r>
      <w:r>
        <w:rPr>
          <w:rFonts w:hint="eastAsia" w:ascii="方正仿宋_GB2312" w:hAnsi="方正仿宋_GB2312" w:eastAsia="方正仿宋_GB2312" w:cs="方正仿宋_GB2312"/>
          <w:b w:val="0"/>
          <w:bCs/>
          <w:color w:val="000000"/>
          <w:sz w:val="28"/>
          <w:szCs w:val="28"/>
        </w:rPr>
        <w:t>公开透明原则：</w:t>
      </w:r>
      <w:r>
        <w:rPr>
          <w:rFonts w:hint="eastAsia" w:ascii="方正仿宋_GB2312" w:hAnsi="方正仿宋_GB2312" w:eastAsia="方正仿宋_GB2312" w:cs="方正仿宋_GB2312"/>
          <w:color w:val="000000"/>
          <w:sz w:val="28"/>
          <w:szCs w:val="28"/>
        </w:rPr>
        <w:t>评审标准、程序和方法应公开，评审过程应记录并可供追溯。</w:t>
      </w:r>
    </w:p>
    <w:p w14:paraId="7A8B4034">
      <w:pPr>
        <w:pStyle w:val="13"/>
        <w:spacing w:line="360" w:lineRule="auto"/>
        <w:ind w:firstLine="560" w:firstLineChars="200"/>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color w:val="000000"/>
          <w:sz w:val="28"/>
          <w:szCs w:val="28"/>
        </w:rPr>
        <w:t>2</w:t>
      </w:r>
      <w:r>
        <w:rPr>
          <w:rFonts w:hint="eastAsia" w:ascii="方正仿宋_GB2312" w:hAnsi="方正仿宋_GB2312" w:eastAsia="方正仿宋_GB2312" w:cs="方正仿宋_GB2312"/>
          <w:b w:val="0"/>
          <w:bCs w:val="0"/>
          <w:color w:val="000000"/>
          <w:sz w:val="28"/>
          <w:szCs w:val="28"/>
        </w:rPr>
        <w:t>.公平公正原则：</w:t>
      </w:r>
      <w:r>
        <w:rPr>
          <w:rFonts w:hint="eastAsia" w:ascii="方正仿宋_GB2312" w:hAnsi="方正仿宋_GB2312" w:eastAsia="方正仿宋_GB2312" w:cs="方正仿宋_GB2312"/>
          <w:color w:val="000000"/>
          <w:sz w:val="28"/>
          <w:szCs w:val="28"/>
        </w:rPr>
        <w:t>对所有供应商一视同仁，不得以不合理的条件对供应商实行差别待遇或者歧视待遇。评审标准的设定应与采购项目的具体特点和实际需要相适应</w:t>
      </w:r>
      <w:r>
        <w:rPr>
          <w:rFonts w:hint="eastAsia" w:ascii="方正仿宋_GB2312" w:hAnsi="方正仿宋_GB2312" w:eastAsia="方正仿宋_GB2312" w:cs="方正仿宋_GB2312"/>
          <w:b w:val="0"/>
          <w:bCs w:val="0"/>
          <w:color w:val="000000"/>
          <w:sz w:val="28"/>
          <w:szCs w:val="28"/>
        </w:rPr>
        <w:t>，禁止就同一采购项目向供应商提供有差别的项目信息，禁止设定与合同履行无关的资格、技术、商务条件。</w:t>
      </w:r>
    </w:p>
    <w:p w14:paraId="6A92D6B1">
      <w:pPr>
        <w:pStyle w:val="13"/>
        <w:spacing w:line="360" w:lineRule="auto"/>
        <w:ind w:firstLine="560" w:firstLineChars="200"/>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color w:val="000000"/>
          <w:sz w:val="28"/>
          <w:szCs w:val="28"/>
        </w:rPr>
        <w:t>3.科学合理原则：评审因素应全面、客观地反映供应商的履约能力，评分标准应具体、明确、可操作，权重分配应合理。</w:t>
      </w:r>
    </w:p>
    <w:p w14:paraId="71193125">
      <w:pPr>
        <w:pStyle w:val="13"/>
        <w:spacing w:line="360" w:lineRule="auto"/>
        <w:ind w:firstLine="560" w:firstLineChars="200"/>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color w:val="000000"/>
          <w:sz w:val="28"/>
          <w:szCs w:val="28"/>
        </w:rPr>
        <w:t>4.竞争择优原则：通过综合评审，选择能够提供最优性价比、最符合采购需求的供应商。</w:t>
      </w:r>
    </w:p>
    <w:p w14:paraId="7ECA1B32">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rPr>
        <w:t>第四条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评审委员会由采购人代表和评审专家共3人</w:t>
      </w:r>
      <w:r>
        <w:rPr>
          <w:rFonts w:hint="eastAsia" w:ascii="方正仿宋_GB2312" w:hAnsi="方正仿宋_GB2312" w:eastAsia="方正仿宋_GB2312" w:cs="方正仿宋_GB2312"/>
          <w:color w:val="000000"/>
          <w:sz w:val="28"/>
          <w:szCs w:val="28"/>
          <w:lang w:val="en-US" w:eastAsia="zh-CN"/>
        </w:rPr>
        <w:t>或3人</w:t>
      </w:r>
      <w:r>
        <w:rPr>
          <w:rFonts w:hint="eastAsia" w:ascii="方正仿宋_GB2312" w:hAnsi="方正仿宋_GB2312" w:eastAsia="方正仿宋_GB2312" w:cs="方正仿宋_GB2312"/>
          <w:color w:val="000000"/>
          <w:sz w:val="28"/>
          <w:szCs w:val="28"/>
        </w:rPr>
        <w:t>以上单数组成，评审委员会应独立评审，并对本人的评审意见承担个人责任。</w:t>
      </w:r>
    </w:p>
    <w:p w14:paraId="1AAE79A8">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rPr>
        <w:t>第五条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本次评审采用综合评分法。评审委员会</w:t>
      </w:r>
      <w:r>
        <w:rPr>
          <w:rFonts w:hint="eastAsia" w:ascii="方正仿宋_GB2312" w:hAnsi="方正仿宋_GB2312" w:eastAsia="方正仿宋_GB2312" w:cs="方正仿宋_GB2312"/>
          <w:b w:val="0"/>
          <w:bCs/>
          <w:color w:val="000000"/>
          <w:sz w:val="28"/>
          <w:szCs w:val="28"/>
        </w:rPr>
        <w:t>应当根据</w:t>
      </w:r>
      <w:r>
        <w:rPr>
          <w:rFonts w:hint="eastAsia" w:ascii="方正仿宋_GB2312" w:hAnsi="方正仿宋_GB2312" w:eastAsia="方正仿宋_GB2312" w:cs="方正仿宋_GB2312"/>
          <w:b w:val="0"/>
          <w:bCs/>
          <w:color w:val="000000"/>
          <w:sz w:val="28"/>
          <w:szCs w:val="28"/>
          <w:lang w:val="en-US" w:eastAsia="zh-CN"/>
        </w:rPr>
        <w:t>比选</w:t>
      </w:r>
      <w:r>
        <w:rPr>
          <w:rFonts w:hint="eastAsia" w:ascii="方正仿宋_GB2312" w:hAnsi="方正仿宋_GB2312" w:eastAsia="方正仿宋_GB2312" w:cs="方正仿宋_GB2312"/>
          <w:b w:val="0"/>
          <w:bCs/>
          <w:color w:val="000000"/>
          <w:sz w:val="28"/>
          <w:szCs w:val="28"/>
        </w:rPr>
        <w:t>文件规定的</w:t>
      </w:r>
      <w:r>
        <w:rPr>
          <w:rFonts w:hint="eastAsia" w:ascii="方正仿宋_GB2312" w:hAnsi="方正仿宋_GB2312" w:eastAsia="方正仿宋_GB2312" w:cs="方正仿宋_GB2312"/>
          <w:b w:val="0"/>
          <w:bCs/>
          <w:color w:val="000000"/>
          <w:sz w:val="28"/>
          <w:szCs w:val="28"/>
          <w:lang w:val="en-US" w:eastAsia="zh-CN"/>
        </w:rPr>
        <w:t>评审</w:t>
      </w:r>
      <w:r>
        <w:rPr>
          <w:rFonts w:hint="eastAsia" w:ascii="方正仿宋_GB2312" w:hAnsi="方正仿宋_GB2312" w:eastAsia="方正仿宋_GB2312" w:cs="方正仿宋_GB2312"/>
          <w:b w:val="0"/>
          <w:bCs/>
          <w:color w:val="000000"/>
          <w:sz w:val="28"/>
          <w:szCs w:val="28"/>
        </w:rPr>
        <w:t>标准和方法，对</w:t>
      </w:r>
      <w:r>
        <w:rPr>
          <w:rFonts w:hint="eastAsia" w:ascii="方正仿宋_GB2312" w:hAnsi="方正仿宋_GB2312" w:eastAsia="方正仿宋_GB2312" w:cs="方正仿宋_GB2312"/>
          <w:b w:val="0"/>
          <w:bCs/>
          <w:color w:val="000000"/>
          <w:sz w:val="28"/>
          <w:szCs w:val="28"/>
          <w:lang w:val="en-US" w:eastAsia="zh-CN"/>
        </w:rPr>
        <w:t>响应</w:t>
      </w:r>
      <w:r>
        <w:rPr>
          <w:rFonts w:hint="eastAsia" w:ascii="方正仿宋_GB2312" w:hAnsi="方正仿宋_GB2312" w:eastAsia="方正仿宋_GB2312" w:cs="方正仿宋_GB2312"/>
          <w:b w:val="0"/>
          <w:bCs/>
          <w:color w:val="000000"/>
          <w:sz w:val="28"/>
          <w:szCs w:val="28"/>
        </w:rPr>
        <w:t>文件进行系统地评审和比较。</w:t>
      </w:r>
      <w:r>
        <w:rPr>
          <w:rFonts w:hint="eastAsia" w:ascii="方正仿宋_GB2312" w:hAnsi="方正仿宋_GB2312" w:eastAsia="方正仿宋_GB2312" w:cs="方正仿宋_GB2312"/>
          <w:color w:val="000000"/>
          <w:sz w:val="28"/>
          <w:szCs w:val="28"/>
          <w:lang w:val="en-US" w:eastAsia="zh-CN"/>
        </w:rPr>
        <w:t>比选</w:t>
      </w:r>
      <w:r>
        <w:rPr>
          <w:rFonts w:hint="eastAsia" w:ascii="方正仿宋_GB2312" w:hAnsi="方正仿宋_GB2312" w:eastAsia="方正仿宋_GB2312" w:cs="方正仿宋_GB2312"/>
          <w:color w:val="000000"/>
          <w:sz w:val="28"/>
          <w:szCs w:val="28"/>
        </w:rPr>
        <w:t>文件中没有规定的标准和方法不得作为</w:t>
      </w:r>
      <w:r>
        <w:rPr>
          <w:rFonts w:hint="eastAsia" w:ascii="方正仿宋_GB2312" w:hAnsi="方正仿宋_GB2312" w:eastAsia="方正仿宋_GB2312" w:cs="方正仿宋_GB2312"/>
          <w:color w:val="000000"/>
          <w:sz w:val="28"/>
          <w:szCs w:val="28"/>
          <w:lang w:val="en-US" w:eastAsia="zh-CN"/>
        </w:rPr>
        <w:t>评审</w:t>
      </w:r>
      <w:r>
        <w:rPr>
          <w:rFonts w:hint="eastAsia" w:ascii="方正仿宋_GB2312" w:hAnsi="方正仿宋_GB2312" w:eastAsia="方正仿宋_GB2312" w:cs="方正仿宋_GB2312"/>
          <w:color w:val="000000"/>
          <w:sz w:val="28"/>
          <w:szCs w:val="28"/>
        </w:rPr>
        <w:t>的依据。</w:t>
      </w:r>
    </w:p>
    <w:p w14:paraId="1EE615BC">
      <w:pPr>
        <w:pStyle w:val="13"/>
        <w:spacing w:line="360" w:lineRule="auto"/>
        <w:ind w:firstLine="562"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
          <w:color w:val="auto"/>
          <w:sz w:val="28"/>
          <w:szCs w:val="28"/>
        </w:rPr>
        <w:t>第六条</w:t>
      </w:r>
      <w:r>
        <w:rPr>
          <w:rFonts w:hint="eastAsia" w:ascii="方正仿宋_GB2312" w:hAnsi="方正仿宋_GB2312" w:eastAsia="方正仿宋_GB2312" w:cs="方正仿宋_GB2312"/>
          <w:b/>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评审委员会首先依据</w:t>
      </w:r>
      <w:r>
        <w:rPr>
          <w:rFonts w:hint="eastAsia" w:ascii="方正仿宋_GB2312" w:hAnsi="方正仿宋_GB2312" w:eastAsia="方正仿宋_GB2312" w:cs="方正仿宋_GB2312"/>
          <w:color w:val="auto"/>
          <w:sz w:val="28"/>
          <w:szCs w:val="28"/>
          <w:lang w:val="en-US" w:eastAsia="zh-CN"/>
        </w:rPr>
        <w:t>比选</w:t>
      </w:r>
      <w:r>
        <w:rPr>
          <w:rFonts w:hint="eastAsia" w:ascii="方正仿宋_GB2312" w:hAnsi="方正仿宋_GB2312" w:eastAsia="方正仿宋_GB2312" w:cs="方正仿宋_GB2312"/>
          <w:color w:val="auto"/>
          <w:sz w:val="28"/>
          <w:szCs w:val="28"/>
        </w:rPr>
        <w:t>文件要求，对所有供应商的响应文件进行资格性检查和符合性审查。未通过审查的响应文件，不再进行后续详细评审。</w:t>
      </w:r>
    </w:p>
    <w:p w14:paraId="511A4583">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rPr>
        <w:t>第</w:t>
      </w:r>
      <w:r>
        <w:rPr>
          <w:rFonts w:hint="eastAsia" w:ascii="方正仿宋_GB2312" w:hAnsi="方正仿宋_GB2312" w:eastAsia="方正仿宋_GB2312" w:cs="方正仿宋_GB2312"/>
          <w:b/>
          <w:color w:val="000000"/>
          <w:sz w:val="28"/>
          <w:szCs w:val="28"/>
          <w:lang w:val="en-US" w:eastAsia="zh-CN"/>
        </w:rPr>
        <w:t>七</w:t>
      </w:r>
      <w:r>
        <w:rPr>
          <w:rFonts w:hint="eastAsia" w:ascii="方正仿宋_GB2312" w:hAnsi="方正仿宋_GB2312" w:eastAsia="方正仿宋_GB2312" w:cs="方正仿宋_GB2312"/>
          <w:b/>
          <w:color w:val="000000"/>
          <w:sz w:val="28"/>
          <w:szCs w:val="28"/>
        </w:rPr>
        <w:t>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评审过程中如遇本评审标准未明确规定的特殊情形，应由评审委员会根据政府采购法律法规及本评审标准所确立的原则集体讨论，形成一致意见后执行。该意见不得与本评审标准已明确的内容相抵触，且不得对任何供应商构成《中华人民共和国政府采购法实施条例》第二十条所禁止的差别待遇或者歧视待遇。</w:t>
      </w:r>
    </w:p>
    <w:p w14:paraId="7792C752">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rPr>
        <w:t>第</w:t>
      </w:r>
      <w:r>
        <w:rPr>
          <w:rFonts w:hint="eastAsia" w:ascii="方正仿宋_GB2312" w:hAnsi="方正仿宋_GB2312" w:eastAsia="方正仿宋_GB2312" w:cs="方正仿宋_GB2312"/>
          <w:b/>
          <w:color w:val="000000"/>
          <w:sz w:val="28"/>
          <w:szCs w:val="28"/>
          <w:lang w:val="en-US" w:eastAsia="zh-CN"/>
        </w:rPr>
        <w:t>八</w:t>
      </w:r>
      <w:r>
        <w:rPr>
          <w:rFonts w:hint="eastAsia" w:ascii="方正仿宋_GB2312" w:hAnsi="方正仿宋_GB2312" w:eastAsia="方正仿宋_GB2312" w:cs="方正仿宋_GB2312"/>
          <w:b/>
          <w:color w:val="000000"/>
          <w:sz w:val="28"/>
          <w:szCs w:val="28"/>
        </w:rPr>
        <w:t>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评审委员会完成评分后，进行汇总。按照总得分由高到低的顺序推荐成交候选供应商。若出现综合得分相同的情况，则按“技术服务部分”得分高低确定排序；若仍相同，则按“价格部分”得分高低确定排序。</w:t>
      </w:r>
    </w:p>
    <w:p w14:paraId="39387243">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lang w:val="en-US" w:eastAsia="zh-CN"/>
        </w:rPr>
        <w:t xml:space="preserve">第九条 </w:t>
      </w:r>
      <w:r>
        <w:rPr>
          <w:rFonts w:hint="eastAsia" w:ascii="方正仿宋_GB2312" w:hAnsi="方正仿宋_GB2312" w:eastAsia="方正仿宋_GB2312" w:cs="方正仿宋_GB2312"/>
          <w:b/>
          <w:color w:val="000000"/>
          <w:sz w:val="28"/>
          <w:szCs w:val="28"/>
        </w:rPr>
        <w:t>评分细则</w:t>
      </w:r>
    </w:p>
    <w:p w14:paraId="01666E08">
      <w:pPr>
        <w:pStyle w:val="13"/>
        <w:spacing w:line="360" w:lineRule="auto"/>
        <w:ind w:firstLine="560" w:firstLineChars="200"/>
        <w:rPr>
          <w:rFonts w:hint="eastAsia" w:ascii="方正仿宋_GB2312" w:hAnsi="方正仿宋_GB2312" w:eastAsia="方正仿宋_GB2312" w:cs="方正仿宋_GB2312"/>
          <w:color w:val="000000"/>
          <w:sz w:val="28"/>
          <w:szCs w:val="28"/>
          <w:lang w:val="en-US" w:eastAsia="zh-CN"/>
        </w:rPr>
      </w:pPr>
      <w:r>
        <w:rPr>
          <w:rFonts w:hint="eastAsia" w:ascii="方正仿宋_GB2312" w:hAnsi="方正仿宋_GB2312" w:eastAsia="方正仿宋_GB2312" w:cs="方正仿宋_GB2312"/>
          <w:color w:val="000000"/>
          <w:sz w:val="28"/>
          <w:szCs w:val="28"/>
          <w:lang w:eastAsia="zh-CN"/>
        </w:rPr>
        <w:t>本次比选</w:t>
      </w:r>
      <w:r>
        <w:rPr>
          <w:rFonts w:hint="eastAsia" w:ascii="方正仿宋_GB2312" w:hAnsi="方正仿宋_GB2312" w:eastAsia="方正仿宋_GB2312" w:cs="方正仿宋_GB2312"/>
          <w:color w:val="000000"/>
          <w:sz w:val="28"/>
          <w:szCs w:val="28"/>
        </w:rPr>
        <w:t>评审</w:t>
      </w:r>
      <w:r>
        <w:rPr>
          <w:rFonts w:hint="eastAsia" w:ascii="方正仿宋_GB2312" w:hAnsi="方正仿宋_GB2312" w:eastAsia="方正仿宋_GB2312" w:cs="方正仿宋_GB2312"/>
          <w:color w:val="000000"/>
          <w:sz w:val="28"/>
          <w:szCs w:val="28"/>
          <w:lang w:eastAsia="zh-CN"/>
        </w:rPr>
        <w:t>以响应文件的专业契合度、编辑出版能力、项目执行方案及报价等为综合评价依据，通过资格审查和符合性审查的供应商才能进入</w:t>
      </w:r>
      <w:r>
        <w:rPr>
          <w:rFonts w:hint="eastAsia" w:ascii="方正仿宋_GB2312" w:hAnsi="方正仿宋_GB2312" w:eastAsia="方正仿宋_GB2312" w:cs="方正仿宋_GB2312"/>
          <w:color w:val="000000"/>
          <w:sz w:val="28"/>
          <w:szCs w:val="28"/>
          <w:lang w:val="en-US" w:eastAsia="zh-CN"/>
        </w:rPr>
        <w:t>评审环节。</w:t>
      </w:r>
    </w:p>
    <w:p w14:paraId="7E5C9F8A">
      <w:pPr>
        <w:pStyle w:val="13"/>
        <w:spacing w:line="360" w:lineRule="auto"/>
        <w:ind w:firstLine="560" w:firstLineChars="200"/>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lang w:eastAsia="zh-CN"/>
        </w:rPr>
        <w:t>本次评审采用综合评分法，</w:t>
      </w:r>
      <w:r>
        <w:rPr>
          <w:rFonts w:hint="eastAsia" w:ascii="方正仿宋_GB2312" w:hAnsi="方正仿宋_GB2312" w:eastAsia="方正仿宋_GB2312" w:cs="方正仿宋_GB2312"/>
          <w:color w:val="000000"/>
          <w:sz w:val="28"/>
          <w:szCs w:val="28"/>
        </w:rPr>
        <w:t>总分值为100分</w:t>
      </w:r>
      <w:r>
        <w:rPr>
          <w:rFonts w:hint="eastAsia" w:ascii="方正仿宋_GB2312" w:hAnsi="方正仿宋_GB2312" w:eastAsia="方正仿宋_GB2312" w:cs="方正仿宋_GB2312"/>
          <w:color w:val="000000"/>
          <w:sz w:val="28"/>
          <w:szCs w:val="28"/>
          <w:lang w:eastAsia="zh-CN"/>
        </w:rPr>
        <w:t>。综合评分法是指在最大限度地满足磋商文件实质性要求前提下，按照文件中规定的各项因素进行综合评审后，以评标总得分最高的供应商作为确定供应商的评标方法。（评标总得分相等时，按报价由低到高顺序排列；评标总得分相等且报价相同时，按技术部分得分高低顺序排列）综合得分最高者</w:t>
      </w:r>
      <w:r>
        <w:rPr>
          <w:rFonts w:hint="eastAsia" w:ascii="方正仿宋_GB2312" w:hAnsi="方正仿宋_GB2312" w:eastAsia="方正仿宋_GB2312" w:cs="方正仿宋_GB2312"/>
          <w:color w:val="000000"/>
          <w:sz w:val="28"/>
          <w:szCs w:val="28"/>
          <w:lang w:val="en-US" w:eastAsia="zh-CN"/>
        </w:rPr>
        <w:t>推荐</w:t>
      </w:r>
      <w:r>
        <w:rPr>
          <w:rFonts w:hint="eastAsia" w:ascii="方正仿宋_GB2312" w:hAnsi="方正仿宋_GB2312" w:eastAsia="方正仿宋_GB2312" w:cs="方正仿宋_GB2312"/>
          <w:color w:val="000000"/>
          <w:sz w:val="28"/>
          <w:szCs w:val="28"/>
          <w:lang w:eastAsia="zh-CN"/>
        </w:rPr>
        <w:t>为成交供应商。</w:t>
      </w:r>
    </w:p>
    <w:tbl>
      <w:tblPr>
        <w:tblStyle w:val="16"/>
        <w:tblW w:w="502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53"/>
        <w:gridCol w:w="961"/>
        <w:gridCol w:w="1210"/>
        <w:gridCol w:w="4957"/>
        <w:gridCol w:w="775"/>
      </w:tblGrid>
      <w:tr w14:paraId="38CDD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71" w:type="pct"/>
            <w:vAlign w:val="center"/>
          </w:tcPr>
          <w:p w14:paraId="59875F16">
            <w:pPr>
              <w:pStyle w:val="15"/>
              <w:spacing w:before="121" w:line="221" w:lineRule="auto"/>
              <w:ind w:left="25"/>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序号</w:t>
            </w:r>
          </w:p>
        </w:tc>
        <w:tc>
          <w:tcPr>
            <w:tcW w:w="575" w:type="pct"/>
            <w:vAlign w:val="center"/>
          </w:tcPr>
          <w:p w14:paraId="7A41E691">
            <w:pPr>
              <w:pStyle w:val="15"/>
              <w:spacing w:before="120" w:line="219"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评分要素</w:t>
            </w:r>
          </w:p>
        </w:tc>
        <w:tc>
          <w:tcPr>
            <w:tcW w:w="724" w:type="pct"/>
            <w:vAlign w:val="center"/>
          </w:tcPr>
          <w:p w14:paraId="7DFEDFEC">
            <w:pPr>
              <w:pStyle w:val="15"/>
              <w:spacing w:before="10" w:line="219" w:lineRule="auto"/>
              <w:ind w:left="23"/>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分值及权重</w:t>
            </w:r>
          </w:p>
          <w:p w14:paraId="604F9091">
            <w:pPr>
              <w:pStyle w:val="15"/>
              <w:spacing w:before="15" w:line="219" w:lineRule="auto"/>
              <w:ind w:left="53"/>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4"/>
                <w:sz w:val="21"/>
                <w:szCs w:val="21"/>
              </w:rPr>
              <w:t>(满分100)</w:t>
            </w:r>
          </w:p>
        </w:tc>
        <w:tc>
          <w:tcPr>
            <w:tcW w:w="2965" w:type="pct"/>
            <w:vAlign w:val="center"/>
          </w:tcPr>
          <w:p w14:paraId="5D361CD2">
            <w:pPr>
              <w:pStyle w:val="15"/>
              <w:spacing w:before="120"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评分标准</w:t>
            </w:r>
          </w:p>
        </w:tc>
        <w:tc>
          <w:tcPr>
            <w:tcW w:w="463" w:type="pct"/>
            <w:vAlign w:val="center"/>
          </w:tcPr>
          <w:p w14:paraId="3A171412">
            <w:pPr>
              <w:pStyle w:val="15"/>
              <w:spacing w:before="120" w:line="219"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7"/>
                <w:sz w:val="21"/>
                <w:szCs w:val="21"/>
              </w:rPr>
              <w:t>说明</w:t>
            </w:r>
          </w:p>
        </w:tc>
      </w:tr>
      <w:tr w14:paraId="2F2A5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71" w:type="pct"/>
            <w:vAlign w:val="center"/>
          </w:tcPr>
          <w:p w14:paraId="4B846267">
            <w:pPr>
              <w:pStyle w:val="15"/>
              <w:spacing w:before="248" w:line="241" w:lineRule="auto"/>
              <w:ind w:left="12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w:t>
            </w:r>
          </w:p>
        </w:tc>
        <w:tc>
          <w:tcPr>
            <w:tcW w:w="575" w:type="pct"/>
            <w:vAlign w:val="center"/>
          </w:tcPr>
          <w:p w14:paraId="653D52C5">
            <w:pPr>
              <w:pStyle w:val="15"/>
              <w:spacing w:before="234" w:line="218" w:lineRule="auto"/>
              <w:ind w:left="1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报价区间</w:t>
            </w:r>
          </w:p>
        </w:tc>
        <w:tc>
          <w:tcPr>
            <w:tcW w:w="724" w:type="pct"/>
            <w:vAlign w:val="center"/>
          </w:tcPr>
          <w:p w14:paraId="1EF4F4E3">
            <w:pPr>
              <w:pStyle w:val="15"/>
              <w:spacing w:before="235"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15分</w:t>
            </w:r>
          </w:p>
        </w:tc>
        <w:tc>
          <w:tcPr>
            <w:tcW w:w="2965" w:type="pct"/>
            <w:vAlign w:val="center"/>
          </w:tcPr>
          <w:p w14:paraId="48A92566">
            <w:pPr>
              <w:pStyle w:val="15"/>
              <w:spacing w:before="124" w:line="285" w:lineRule="auto"/>
              <w:ind w:left="14"/>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5"/>
                <w:sz w:val="21"/>
                <w:szCs w:val="21"/>
              </w:rPr>
              <w:t>以本次有效的最低投标报价为基准价，投标报价得分=</w:t>
            </w:r>
            <w:r>
              <w:rPr>
                <w:rFonts w:hint="eastAsia" w:ascii="方正仿宋_GBK" w:hAnsi="方正仿宋_GBK" w:eastAsia="方正仿宋_GBK" w:cs="方正仿宋_GBK"/>
                <w:spacing w:val="4"/>
                <w:sz w:val="21"/>
                <w:szCs w:val="21"/>
              </w:rPr>
              <w:t xml:space="preserve"> </w:t>
            </w:r>
            <w:r>
              <w:rPr>
                <w:rFonts w:hint="eastAsia" w:ascii="方正仿宋_GBK" w:hAnsi="方正仿宋_GBK" w:eastAsia="方正仿宋_GBK" w:cs="方正仿宋_GBK"/>
                <w:spacing w:val="-1"/>
                <w:sz w:val="21"/>
                <w:szCs w:val="21"/>
              </w:rPr>
              <w:t>(基准价/投标报价)*15分*100%</w:t>
            </w:r>
          </w:p>
        </w:tc>
        <w:tc>
          <w:tcPr>
            <w:tcW w:w="463" w:type="pct"/>
            <w:vAlign w:val="center"/>
          </w:tcPr>
          <w:p w14:paraId="02171E6B">
            <w:pPr>
              <w:jc w:val="center"/>
              <w:rPr>
                <w:rFonts w:hint="eastAsia" w:ascii="方正仿宋_GBK" w:hAnsi="方正仿宋_GBK" w:eastAsia="方正仿宋_GBK" w:cs="方正仿宋_GBK"/>
                <w:sz w:val="21"/>
                <w:szCs w:val="21"/>
              </w:rPr>
            </w:pPr>
          </w:p>
        </w:tc>
      </w:tr>
      <w:tr w14:paraId="58014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8" w:hRule="atLeast"/>
        </w:trPr>
        <w:tc>
          <w:tcPr>
            <w:tcW w:w="271" w:type="pct"/>
            <w:vAlign w:val="center"/>
          </w:tcPr>
          <w:p w14:paraId="1B6BEE3C">
            <w:pPr>
              <w:pStyle w:val="15"/>
              <w:spacing w:before="42" w:line="241" w:lineRule="auto"/>
              <w:ind w:left="12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w:t>
            </w:r>
          </w:p>
        </w:tc>
        <w:tc>
          <w:tcPr>
            <w:tcW w:w="575" w:type="pct"/>
            <w:vAlign w:val="center"/>
          </w:tcPr>
          <w:p w14:paraId="0C7BC2B0">
            <w:pPr>
              <w:pStyle w:val="15"/>
              <w:spacing w:before="43" w:line="219" w:lineRule="auto"/>
              <w:ind w:left="1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服务方案</w:t>
            </w:r>
          </w:p>
        </w:tc>
        <w:tc>
          <w:tcPr>
            <w:tcW w:w="724" w:type="pct"/>
            <w:vAlign w:val="center"/>
          </w:tcPr>
          <w:p w14:paraId="52B4A591">
            <w:pPr>
              <w:pStyle w:val="15"/>
              <w:spacing w:before="42"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15分</w:t>
            </w:r>
          </w:p>
        </w:tc>
        <w:tc>
          <w:tcPr>
            <w:tcW w:w="2965" w:type="pct"/>
            <w:vAlign w:val="center"/>
          </w:tcPr>
          <w:p w14:paraId="5F655555">
            <w:pPr>
              <w:pStyle w:val="15"/>
              <w:spacing w:before="15" w:line="254" w:lineRule="auto"/>
              <w:ind w:left="14"/>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5"/>
                <w:sz w:val="21"/>
                <w:szCs w:val="21"/>
              </w:rPr>
              <w:t>一、整体服务方案及措施(包括服务人员配备及安</w:t>
            </w:r>
            <w:r>
              <w:rPr>
                <w:rFonts w:hint="eastAsia" w:ascii="方正仿宋_GBK" w:hAnsi="方正仿宋_GBK" w:eastAsia="方正仿宋_GBK" w:cs="方正仿宋_GBK"/>
                <w:spacing w:val="-6"/>
                <w:sz w:val="21"/>
                <w:szCs w:val="21"/>
              </w:rPr>
              <w:t>排计</w:t>
            </w:r>
            <w:r>
              <w:rPr>
                <w:rFonts w:hint="eastAsia" w:ascii="方正仿宋_GBK" w:hAnsi="方正仿宋_GBK" w:eastAsia="方正仿宋_GBK" w:cs="方正仿宋_GBK"/>
                <w:spacing w:val="-9"/>
                <w:sz w:val="21"/>
                <w:szCs w:val="21"/>
              </w:rPr>
              <w:t>划</w:t>
            </w:r>
            <w:r>
              <w:rPr>
                <w:rFonts w:hint="eastAsia" w:ascii="方正仿宋_GBK" w:hAnsi="方正仿宋_GBK" w:eastAsia="方正仿宋_GBK" w:cs="方正仿宋_GBK"/>
                <w:spacing w:val="-8"/>
                <w:sz w:val="21"/>
                <w:szCs w:val="21"/>
              </w:rPr>
              <w:t>、项目进度计划及保证措施、质量保证措施、资源</w:t>
            </w:r>
            <w:r>
              <w:rPr>
                <w:rFonts w:hint="eastAsia" w:ascii="方正仿宋_GBK" w:hAnsi="方正仿宋_GBK" w:eastAsia="方正仿宋_GBK" w:cs="方正仿宋_GBK"/>
                <w:spacing w:val="-7"/>
                <w:sz w:val="21"/>
                <w:szCs w:val="21"/>
              </w:rPr>
              <w:t>设</w:t>
            </w:r>
            <w:r>
              <w:rPr>
                <w:rFonts w:hint="eastAsia" w:ascii="方正仿宋_GBK" w:hAnsi="方正仿宋_GBK" w:eastAsia="方正仿宋_GBK" w:cs="方正仿宋_GBK"/>
                <w:spacing w:val="-1"/>
                <w:sz w:val="21"/>
                <w:szCs w:val="21"/>
              </w:rPr>
              <w:t>备配备计划等)完整科学、可行性强的，计10分，缺</w:t>
            </w:r>
            <w:bookmarkStart w:id="0" w:name="_GoBack"/>
            <w:bookmarkEnd w:id="0"/>
            <w:r>
              <w:rPr>
                <w:rFonts w:hint="eastAsia" w:ascii="方正仿宋_GBK" w:hAnsi="方正仿宋_GBK" w:eastAsia="方正仿宋_GBK" w:cs="方正仿宋_GBK"/>
                <w:spacing w:val="-1"/>
                <w:sz w:val="21"/>
                <w:szCs w:val="21"/>
              </w:rPr>
              <w:t>漏项、不合理的，每处扣1分，扣完为止。</w:t>
            </w:r>
          </w:p>
          <w:p w14:paraId="210DF82B">
            <w:pPr>
              <w:pStyle w:val="15"/>
              <w:spacing w:before="24" w:line="252" w:lineRule="auto"/>
              <w:ind w:left="14"/>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8"/>
                <w:sz w:val="21"/>
                <w:szCs w:val="21"/>
              </w:rPr>
              <w:t>二、各类应急预案系统完整，实施措施实用、合理、可</w:t>
            </w:r>
            <w:r>
              <w:rPr>
                <w:rFonts w:hint="eastAsia" w:ascii="方正仿宋_GBK" w:hAnsi="方正仿宋_GBK" w:eastAsia="方正仿宋_GBK" w:cs="方正仿宋_GBK"/>
                <w:spacing w:val="-5"/>
                <w:sz w:val="21"/>
                <w:szCs w:val="21"/>
              </w:rPr>
              <w:t>靠并具有针对性的计5分；缺漏项、不合理的，每处扣</w:t>
            </w:r>
            <w:r>
              <w:rPr>
                <w:rFonts w:hint="eastAsia" w:ascii="方正仿宋_GBK" w:hAnsi="方正仿宋_GBK" w:eastAsia="方正仿宋_GBK" w:cs="方正仿宋_GBK"/>
                <w:spacing w:val="-5"/>
                <w:sz w:val="21"/>
                <w:szCs w:val="21"/>
                <w:lang w:val="en-US" w:eastAsia="zh-CN"/>
              </w:rPr>
              <w:t>1</w:t>
            </w:r>
            <w:r>
              <w:rPr>
                <w:rFonts w:hint="eastAsia" w:ascii="方正仿宋_GBK" w:hAnsi="方正仿宋_GBK" w:eastAsia="方正仿宋_GBK" w:cs="方正仿宋_GBK"/>
                <w:spacing w:val="5"/>
                <w:sz w:val="21"/>
                <w:szCs w:val="21"/>
              </w:rPr>
              <w:t>分，扣完为止。</w:t>
            </w:r>
          </w:p>
        </w:tc>
        <w:tc>
          <w:tcPr>
            <w:tcW w:w="463" w:type="pct"/>
            <w:vAlign w:val="center"/>
          </w:tcPr>
          <w:p w14:paraId="2D23BEF6">
            <w:pPr>
              <w:jc w:val="center"/>
              <w:rPr>
                <w:rFonts w:hint="eastAsia" w:ascii="方正仿宋_GBK" w:hAnsi="方正仿宋_GBK" w:eastAsia="方正仿宋_GBK" w:cs="方正仿宋_GBK"/>
                <w:sz w:val="21"/>
                <w:szCs w:val="21"/>
              </w:rPr>
            </w:pPr>
          </w:p>
        </w:tc>
      </w:tr>
      <w:tr w14:paraId="51130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271" w:type="pct"/>
            <w:vAlign w:val="center"/>
          </w:tcPr>
          <w:p w14:paraId="05D72C79">
            <w:pPr>
              <w:pStyle w:val="15"/>
              <w:spacing w:before="43"/>
              <w:ind w:left="12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w:t>
            </w:r>
          </w:p>
        </w:tc>
        <w:tc>
          <w:tcPr>
            <w:tcW w:w="575" w:type="pct"/>
            <w:vAlign w:val="center"/>
          </w:tcPr>
          <w:p w14:paraId="142CA0A4">
            <w:pPr>
              <w:pStyle w:val="15"/>
              <w:spacing w:before="42"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4"/>
                <w:sz w:val="21"/>
                <w:szCs w:val="21"/>
              </w:rPr>
              <w:t>创意策划设计方案和总体效果</w:t>
            </w:r>
          </w:p>
        </w:tc>
        <w:tc>
          <w:tcPr>
            <w:tcW w:w="724" w:type="pct"/>
            <w:vAlign w:val="center"/>
          </w:tcPr>
          <w:p w14:paraId="4DB5CE84">
            <w:pPr>
              <w:pStyle w:val="15"/>
              <w:spacing w:before="42"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30分</w:t>
            </w:r>
          </w:p>
        </w:tc>
        <w:tc>
          <w:tcPr>
            <w:tcW w:w="2965" w:type="pct"/>
            <w:vAlign w:val="center"/>
          </w:tcPr>
          <w:p w14:paraId="3E49B6F5">
            <w:pPr>
              <w:pStyle w:val="15"/>
              <w:spacing w:before="19" w:line="260" w:lineRule="auto"/>
              <w:ind w:left="14"/>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0"/>
                <w:sz w:val="21"/>
                <w:szCs w:val="21"/>
              </w:rPr>
              <w:t>总体创意主题突出，结构合理，层次清晰。能够提供全案策划、整体架构规划，文字、图片素材收集整理。优</w:t>
            </w:r>
            <w:r>
              <w:rPr>
                <w:rFonts w:hint="eastAsia" w:ascii="方正仿宋_GBK" w:hAnsi="方正仿宋_GBK" w:eastAsia="方正仿宋_GBK" w:cs="方正仿宋_GBK"/>
                <w:spacing w:val="-5"/>
                <w:sz w:val="21"/>
                <w:szCs w:val="21"/>
              </w:rPr>
              <w:t>得15分，良得10分，一般得5分，差或未提供不得分。</w:t>
            </w:r>
            <w:r>
              <w:rPr>
                <w:rFonts w:hint="eastAsia" w:ascii="方正仿宋_GBK" w:hAnsi="方正仿宋_GBK" w:eastAsia="方正仿宋_GBK" w:cs="方正仿宋_GBK"/>
                <w:spacing w:val="-10"/>
                <w:sz w:val="21"/>
                <w:szCs w:val="21"/>
              </w:rPr>
              <w:t>封面、内页设计新颖有创意，色彩饱和艳丽，辅助素材</w:t>
            </w:r>
            <w:r>
              <w:rPr>
                <w:rFonts w:hint="eastAsia" w:ascii="方正仿宋_GBK" w:hAnsi="方正仿宋_GBK" w:eastAsia="方正仿宋_GBK" w:cs="方正仿宋_GBK"/>
                <w:spacing w:val="-3"/>
                <w:sz w:val="21"/>
                <w:szCs w:val="21"/>
              </w:rPr>
              <w:t>贴近主题且有内涵。优得15分，良得10分，一般得5分，差或未提供不得分。</w:t>
            </w:r>
          </w:p>
        </w:tc>
        <w:tc>
          <w:tcPr>
            <w:tcW w:w="463" w:type="pct"/>
            <w:vAlign w:val="center"/>
          </w:tcPr>
          <w:p w14:paraId="519D9BB7">
            <w:pPr>
              <w:jc w:val="center"/>
              <w:rPr>
                <w:rFonts w:hint="eastAsia" w:ascii="方正仿宋_GBK" w:hAnsi="方正仿宋_GBK" w:eastAsia="方正仿宋_GBK" w:cs="方正仿宋_GBK"/>
                <w:sz w:val="21"/>
                <w:szCs w:val="21"/>
              </w:rPr>
            </w:pPr>
          </w:p>
        </w:tc>
      </w:tr>
      <w:tr w14:paraId="6885C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71" w:type="pct"/>
            <w:vAlign w:val="center"/>
          </w:tcPr>
          <w:p w14:paraId="20C39EDB">
            <w:pPr>
              <w:pStyle w:val="15"/>
              <w:spacing w:before="42" w:line="241" w:lineRule="auto"/>
              <w:ind w:left="12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4</w:t>
            </w:r>
          </w:p>
        </w:tc>
        <w:tc>
          <w:tcPr>
            <w:tcW w:w="575" w:type="pct"/>
            <w:vAlign w:val="center"/>
          </w:tcPr>
          <w:p w14:paraId="08A8896D">
            <w:pPr>
              <w:pStyle w:val="15"/>
              <w:spacing w:before="42" w:line="219" w:lineRule="auto"/>
              <w:ind w:left="1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投入本项目的人员情况</w:t>
            </w:r>
          </w:p>
        </w:tc>
        <w:tc>
          <w:tcPr>
            <w:tcW w:w="724" w:type="pct"/>
            <w:vAlign w:val="center"/>
          </w:tcPr>
          <w:p w14:paraId="549DDC23">
            <w:pPr>
              <w:pStyle w:val="15"/>
              <w:spacing w:before="43"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15分</w:t>
            </w:r>
          </w:p>
        </w:tc>
        <w:tc>
          <w:tcPr>
            <w:tcW w:w="2965" w:type="pct"/>
            <w:vAlign w:val="center"/>
          </w:tcPr>
          <w:p w14:paraId="2E29A3BB">
            <w:pPr>
              <w:pStyle w:val="15"/>
              <w:spacing w:before="9" w:line="219" w:lineRule="auto"/>
              <w:ind w:left="14"/>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对投标人投入本项目的人员情况进行评分：</w:t>
            </w:r>
          </w:p>
          <w:p w14:paraId="57D678A2">
            <w:pPr>
              <w:pStyle w:val="15"/>
              <w:spacing w:before="27" w:line="250" w:lineRule="auto"/>
              <w:ind w:left="14"/>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对接用户需求1人、设计1人、编辑2人(需具有出版</w:t>
            </w:r>
            <w:r>
              <w:rPr>
                <w:rFonts w:hint="eastAsia" w:ascii="方正仿宋_GBK" w:hAnsi="方正仿宋_GBK" w:eastAsia="方正仿宋_GBK" w:cs="方正仿宋_GBK"/>
                <w:spacing w:val="-2"/>
                <w:sz w:val="21"/>
                <w:szCs w:val="21"/>
              </w:rPr>
              <w:t>专业技术人员职业资格证书)、校对1人有专人</w:t>
            </w:r>
            <w:r>
              <w:rPr>
                <w:rFonts w:hint="eastAsia" w:ascii="方正仿宋_GBK" w:hAnsi="方正仿宋_GBK" w:eastAsia="方正仿宋_GBK" w:cs="方正仿宋_GBK"/>
                <w:spacing w:val="-3"/>
                <w:sz w:val="21"/>
                <w:szCs w:val="21"/>
              </w:rPr>
              <w:t>专职</w:t>
            </w:r>
            <w:r>
              <w:rPr>
                <w:rFonts w:hint="eastAsia" w:ascii="方正仿宋_GBK" w:hAnsi="方正仿宋_GBK" w:eastAsia="方正仿宋_GBK" w:cs="方正仿宋_GBK"/>
                <w:spacing w:val="-3"/>
                <w:sz w:val="21"/>
                <w:szCs w:val="21"/>
                <w:lang w:val="en-US" w:eastAsia="zh-CN"/>
              </w:rPr>
              <w:t>负</w:t>
            </w:r>
            <w:r>
              <w:rPr>
                <w:rFonts w:hint="eastAsia" w:ascii="方正仿宋_GBK" w:hAnsi="方正仿宋_GBK" w:eastAsia="方正仿宋_GBK" w:cs="方正仿宋_GBK"/>
                <w:spacing w:val="-1"/>
                <w:sz w:val="21"/>
                <w:szCs w:val="21"/>
              </w:rPr>
              <w:t>责，每缺一项扣3分，一人同时兼任多职只算一项。</w:t>
            </w:r>
          </w:p>
        </w:tc>
        <w:tc>
          <w:tcPr>
            <w:tcW w:w="463" w:type="pct"/>
            <w:vAlign w:val="center"/>
          </w:tcPr>
          <w:p w14:paraId="44707291">
            <w:pPr>
              <w:pStyle w:val="15"/>
              <w:spacing w:before="190" w:line="272" w:lineRule="auto"/>
              <w:ind w:left="19" w:right="49"/>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提供证书扫描件</w:t>
            </w:r>
          </w:p>
        </w:tc>
      </w:tr>
      <w:tr w14:paraId="722A3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271" w:type="pct"/>
            <w:vAlign w:val="center"/>
          </w:tcPr>
          <w:p w14:paraId="24EC929E">
            <w:pPr>
              <w:pStyle w:val="15"/>
              <w:spacing w:before="42"/>
              <w:ind w:left="12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5</w:t>
            </w:r>
          </w:p>
        </w:tc>
        <w:tc>
          <w:tcPr>
            <w:tcW w:w="575" w:type="pct"/>
            <w:vAlign w:val="center"/>
          </w:tcPr>
          <w:p w14:paraId="4C011969">
            <w:pPr>
              <w:pStyle w:val="15"/>
              <w:spacing w:before="42" w:line="219" w:lineRule="auto"/>
              <w:ind w:left="1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响应文件编制</w:t>
            </w:r>
          </w:p>
        </w:tc>
        <w:tc>
          <w:tcPr>
            <w:tcW w:w="724" w:type="pct"/>
            <w:vAlign w:val="center"/>
          </w:tcPr>
          <w:p w14:paraId="4CFEB759">
            <w:pPr>
              <w:pStyle w:val="15"/>
              <w:spacing w:before="43"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5分</w:t>
            </w:r>
          </w:p>
        </w:tc>
        <w:tc>
          <w:tcPr>
            <w:tcW w:w="2965" w:type="pct"/>
            <w:vAlign w:val="center"/>
          </w:tcPr>
          <w:p w14:paraId="6FB26F6F">
            <w:pPr>
              <w:pStyle w:val="15"/>
              <w:spacing w:before="12" w:line="258" w:lineRule="auto"/>
              <w:ind w:left="14"/>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8"/>
                <w:sz w:val="21"/>
                <w:szCs w:val="21"/>
              </w:rPr>
              <w:t>响应文件按磋商文件规定的格式、顺序编制，有目录、</w:t>
            </w:r>
            <w:r>
              <w:rPr>
                <w:rFonts w:hint="eastAsia" w:ascii="方正仿宋_GBK" w:hAnsi="方正仿宋_GBK" w:eastAsia="方正仿宋_GBK" w:cs="方正仿宋_GBK"/>
                <w:spacing w:val="11"/>
                <w:sz w:val="21"/>
                <w:szCs w:val="21"/>
              </w:rPr>
              <w:t xml:space="preserve"> </w:t>
            </w:r>
            <w:r>
              <w:rPr>
                <w:rFonts w:hint="eastAsia" w:ascii="方正仿宋_GBK" w:hAnsi="方正仿宋_GBK" w:eastAsia="方正仿宋_GBK" w:cs="方正仿宋_GBK"/>
                <w:spacing w:val="-10"/>
                <w:sz w:val="21"/>
                <w:szCs w:val="21"/>
              </w:rPr>
              <w:t>编页码，装订成册，书面整洁无涂改，没有缺漏项，价</w:t>
            </w:r>
            <w:r>
              <w:rPr>
                <w:rFonts w:hint="eastAsia" w:ascii="方正仿宋_GBK" w:hAnsi="方正仿宋_GBK" w:eastAsia="方正仿宋_GBK" w:cs="方正仿宋_GBK"/>
                <w:spacing w:val="-7"/>
                <w:sz w:val="21"/>
                <w:szCs w:val="21"/>
              </w:rPr>
              <w:t>格数量等计算准确的，计5分；不符合要求的，每处扣</w:t>
            </w:r>
            <w:r>
              <w:rPr>
                <w:rFonts w:hint="eastAsia" w:ascii="方正仿宋_GBK" w:hAnsi="方正仿宋_GBK" w:eastAsia="方正仿宋_GBK" w:cs="方正仿宋_GBK"/>
                <w:spacing w:val="-3"/>
                <w:sz w:val="21"/>
                <w:szCs w:val="21"/>
              </w:rPr>
              <w:t>1分，扣完为止。</w:t>
            </w:r>
          </w:p>
        </w:tc>
        <w:tc>
          <w:tcPr>
            <w:tcW w:w="463" w:type="pct"/>
            <w:vAlign w:val="center"/>
          </w:tcPr>
          <w:p w14:paraId="676BAC6D">
            <w:pPr>
              <w:jc w:val="center"/>
              <w:rPr>
                <w:rFonts w:hint="eastAsia" w:ascii="方正仿宋_GBK" w:hAnsi="方正仿宋_GBK" w:eastAsia="方正仿宋_GBK" w:cs="方正仿宋_GBK"/>
                <w:sz w:val="21"/>
                <w:szCs w:val="21"/>
              </w:rPr>
            </w:pPr>
          </w:p>
        </w:tc>
      </w:tr>
      <w:tr w14:paraId="526F3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71" w:type="pct"/>
            <w:vAlign w:val="center"/>
          </w:tcPr>
          <w:p w14:paraId="5BA10B22">
            <w:pPr>
              <w:pStyle w:val="15"/>
              <w:spacing w:before="42"/>
              <w:ind w:left="12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w:t>
            </w:r>
          </w:p>
        </w:tc>
        <w:tc>
          <w:tcPr>
            <w:tcW w:w="575" w:type="pct"/>
            <w:vAlign w:val="center"/>
          </w:tcPr>
          <w:p w14:paraId="2115738F">
            <w:pPr>
              <w:pStyle w:val="15"/>
              <w:spacing w:before="42" w:line="219" w:lineRule="auto"/>
              <w:ind w:left="1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售后服务能力</w:t>
            </w:r>
          </w:p>
        </w:tc>
        <w:tc>
          <w:tcPr>
            <w:tcW w:w="724" w:type="pct"/>
            <w:vAlign w:val="center"/>
          </w:tcPr>
          <w:p w14:paraId="0A7D49B3">
            <w:pPr>
              <w:pStyle w:val="15"/>
              <w:spacing w:before="43"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5分</w:t>
            </w:r>
          </w:p>
        </w:tc>
        <w:tc>
          <w:tcPr>
            <w:tcW w:w="2965" w:type="pct"/>
            <w:vAlign w:val="center"/>
          </w:tcPr>
          <w:p w14:paraId="2F353B5F">
            <w:pPr>
              <w:pStyle w:val="15"/>
              <w:spacing w:before="11" w:line="263" w:lineRule="auto"/>
              <w:ind w:left="14" w:firstLine="10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7"/>
                <w:sz w:val="21"/>
                <w:szCs w:val="21"/>
                <w:lang w:val="en-US" w:eastAsia="zh-CN"/>
              </w:rPr>
              <w:t>一</w:t>
            </w:r>
            <w:r>
              <w:rPr>
                <w:rFonts w:hint="eastAsia" w:ascii="方正仿宋_GBK" w:hAnsi="方正仿宋_GBK" w:eastAsia="方正仿宋_GBK" w:cs="方正仿宋_GBK"/>
                <w:spacing w:val="-7"/>
                <w:sz w:val="21"/>
                <w:szCs w:val="21"/>
              </w:rPr>
              <w:t>、承诺有专人负责售后服务，在采购方提出售后服务</w:t>
            </w:r>
            <w:r>
              <w:rPr>
                <w:rFonts w:hint="eastAsia" w:ascii="方正仿宋_GBK" w:hAnsi="方正仿宋_GBK" w:eastAsia="方正仿宋_GBK" w:cs="方正仿宋_GBK"/>
                <w:spacing w:val="9"/>
                <w:sz w:val="21"/>
                <w:szCs w:val="21"/>
              </w:rPr>
              <w:t xml:space="preserve"> </w:t>
            </w:r>
            <w:r>
              <w:rPr>
                <w:rFonts w:hint="eastAsia" w:ascii="方正仿宋_GBK" w:hAnsi="方正仿宋_GBK" w:eastAsia="方正仿宋_GBK" w:cs="方正仿宋_GBK"/>
                <w:spacing w:val="-1"/>
                <w:sz w:val="21"/>
                <w:szCs w:val="21"/>
              </w:rPr>
              <w:t>需求时，12小时内给予响应，得3分。</w:t>
            </w:r>
          </w:p>
          <w:p w14:paraId="255AED85">
            <w:pPr>
              <w:pStyle w:val="15"/>
              <w:spacing w:line="239" w:lineRule="auto"/>
              <w:ind w:left="14"/>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5"/>
                <w:sz w:val="21"/>
                <w:szCs w:val="21"/>
              </w:rPr>
              <w:t>二、提供完善的产品制作、维护、退换和召回机制(出</w:t>
            </w:r>
            <w:r>
              <w:rPr>
                <w:rFonts w:hint="eastAsia" w:ascii="方正仿宋_GBK" w:hAnsi="方正仿宋_GBK" w:eastAsia="方正仿宋_GBK" w:cs="方正仿宋_GBK"/>
                <w:spacing w:val="4"/>
                <w:sz w:val="21"/>
                <w:szCs w:val="21"/>
              </w:rPr>
              <w:t xml:space="preserve"> </w:t>
            </w:r>
            <w:r>
              <w:rPr>
                <w:rFonts w:hint="eastAsia" w:ascii="方正仿宋_GBK" w:hAnsi="方正仿宋_GBK" w:eastAsia="方正仿宋_GBK" w:cs="方正仿宋_GBK"/>
                <w:spacing w:val="-1"/>
                <w:sz w:val="21"/>
                <w:szCs w:val="21"/>
              </w:rPr>
              <w:t>具加盖公章的制度文件),得2分；未提供不得分。</w:t>
            </w:r>
          </w:p>
        </w:tc>
        <w:tc>
          <w:tcPr>
            <w:tcW w:w="463" w:type="pct"/>
            <w:vAlign w:val="center"/>
          </w:tcPr>
          <w:p w14:paraId="0E939B65">
            <w:pPr>
              <w:jc w:val="center"/>
              <w:rPr>
                <w:rFonts w:hint="eastAsia" w:ascii="方正仿宋_GBK" w:hAnsi="方正仿宋_GBK" w:eastAsia="方正仿宋_GBK" w:cs="方正仿宋_GBK"/>
                <w:sz w:val="21"/>
                <w:szCs w:val="21"/>
              </w:rPr>
            </w:pPr>
          </w:p>
        </w:tc>
      </w:tr>
      <w:tr w14:paraId="4BD1B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271" w:type="pct"/>
            <w:vAlign w:val="center"/>
          </w:tcPr>
          <w:p w14:paraId="112F9A9A">
            <w:pPr>
              <w:pStyle w:val="15"/>
              <w:spacing w:before="276"/>
              <w:ind w:left="12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7</w:t>
            </w:r>
          </w:p>
        </w:tc>
        <w:tc>
          <w:tcPr>
            <w:tcW w:w="575" w:type="pct"/>
            <w:vAlign w:val="center"/>
          </w:tcPr>
          <w:p w14:paraId="0D5C437B">
            <w:pPr>
              <w:pStyle w:val="15"/>
              <w:spacing w:before="263" w:line="219" w:lineRule="auto"/>
              <w:ind w:left="1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类似业绩</w:t>
            </w:r>
          </w:p>
        </w:tc>
        <w:tc>
          <w:tcPr>
            <w:tcW w:w="724" w:type="pct"/>
            <w:vAlign w:val="center"/>
          </w:tcPr>
          <w:p w14:paraId="6422BECE">
            <w:pPr>
              <w:pStyle w:val="15"/>
              <w:spacing w:before="263"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15分</w:t>
            </w:r>
          </w:p>
        </w:tc>
        <w:tc>
          <w:tcPr>
            <w:tcW w:w="2965" w:type="pct"/>
            <w:vAlign w:val="center"/>
          </w:tcPr>
          <w:p w14:paraId="74546E5F">
            <w:pPr>
              <w:pStyle w:val="15"/>
              <w:spacing w:before="62" w:line="271" w:lineRule="auto"/>
              <w:ind w:left="14"/>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9"/>
                <w:sz w:val="21"/>
                <w:szCs w:val="21"/>
              </w:rPr>
              <w:t>提供</w:t>
            </w:r>
            <w:r>
              <w:rPr>
                <w:rFonts w:hint="eastAsia" w:ascii="方正仿宋_GBK" w:hAnsi="方正仿宋_GBK" w:eastAsia="方正仿宋_GBK" w:cs="方正仿宋_GBK"/>
                <w:spacing w:val="-8"/>
                <w:sz w:val="21"/>
                <w:szCs w:val="21"/>
              </w:rPr>
              <w:t>类似业绩证明材料，每</w:t>
            </w:r>
            <w:r>
              <w:rPr>
                <w:rFonts w:hint="eastAsia" w:ascii="方正仿宋_GBK" w:hAnsi="方正仿宋_GBK" w:eastAsia="方正仿宋_GBK" w:cs="方正仿宋_GBK"/>
                <w:spacing w:val="-6"/>
                <w:sz w:val="21"/>
                <w:szCs w:val="21"/>
              </w:rPr>
              <w:t>提</w:t>
            </w:r>
            <w:r>
              <w:rPr>
                <w:rFonts w:hint="eastAsia" w:ascii="方正仿宋_GBK" w:hAnsi="方正仿宋_GBK" w:eastAsia="方正仿宋_GBK" w:cs="方正仿宋_GBK"/>
                <w:spacing w:val="-2"/>
                <w:sz w:val="21"/>
                <w:szCs w:val="21"/>
              </w:rPr>
              <w:t>供一个得3分，最多得15分。(提供合同关键页复印件</w:t>
            </w:r>
            <w:r>
              <w:rPr>
                <w:rFonts w:hint="eastAsia" w:ascii="方正仿宋_GBK" w:hAnsi="方正仿宋_GBK" w:eastAsia="方正仿宋_GBK" w:cs="方正仿宋_GBK"/>
                <w:spacing w:val="2"/>
                <w:sz w:val="21"/>
                <w:szCs w:val="21"/>
              </w:rPr>
              <w:t>加盖鲜章，原件备查)</w:t>
            </w:r>
          </w:p>
        </w:tc>
        <w:tc>
          <w:tcPr>
            <w:tcW w:w="463" w:type="pct"/>
            <w:vAlign w:val="center"/>
          </w:tcPr>
          <w:p w14:paraId="65241D60">
            <w:pPr>
              <w:jc w:val="center"/>
              <w:rPr>
                <w:rFonts w:hint="eastAsia" w:ascii="方正仿宋_GBK" w:hAnsi="方正仿宋_GBK" w:eastAsia="方正仿宋_GBK" w:cs="方正仿宋_GBK"/>
                <w:sz w:val="21"/>
                <w:szCs w:val="21"/>
              </w:rPr>
            </w:pPr>
          </w:p>
        </w:tc>
      </w:tr>
      <w:tr w14:paraId="17000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271" w:type="pct"/>
            <w:vAlign w:val="center"/>
          </w:tcPr>
          <w:p w14:paraId="7C764413">
            <w:pPr>
              <w:pStyle w:val="15"/>
              <w:spacing w:before="186"/>
              <w:ind w:left="12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8</w:t>
            </w:r>
          </w:p>
        </w:tc>
        <w:tc>
          <w:tcPr>
            <w:tcW w:w="575" w:type="pct"/>
            <w:vAlign w:val="center"/>
          </w:tcPr>
          <w:p w14:paraId="09F2F20E">
            <w:pPr>
              <w:pStyle w:val="15"/>
              <w:spacing w:before="175" w:line="221" w:lineRule="auto"/>
              <w:ind w:left="10"/>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合计</w:t>
            </w:r>
          </w:p>
        </w:tc>
        <w:tc>
          <w:tcPr>
            <w:tcW w:w="724" w:type="pct"/>
            <w:vAlign w:val="center"/>
          </w:tcPr>
          <w:p w14:paraId="1C5D60AE">
            <w:pPr>
              <w:pStyle w:val="15"/>
              <w:spacing w:before="174" w:line="220" w:lineRule="auto"/>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100分</w:t>
            </w:r>
          </w:p>
        </w:tc>
        <w:tc>
          <w:tcPr>
            <w:tcW w:w="2965" w:type="pct"/>
            <w:vAlign w:val="center"/>
          </w:tcPr>
          <w:p w14:paraId="3F3FE2FC">
            <w:pPr>
              <w:jc w:val="left"/>
              <w:rPr>
                <w:rFonts w:hint="eastAsia" w:ascii="方正仿宋_GBK" w:hAnsi="方正仿宋_GBK" w:eastAsia="方正仿宋_GBK" w:cs="方正仿宋_GBK"/>
                <w:sz w:val="21"/>
                <w:szCs w:val="21"/>
              </w:rPr>
            </w:pPr>
          </w:p>
        </w:tc>
        <w:tc>
          <w:tcPr>
            <w:tcW w:w="463" w:type="pct"/>
            <w:vAlign w:val="center"/>
          </w:tcPr>
          <w:p w14:paraId="7EAFE901">
            <w:pPr>
              <w:jc w:val="center"/>
              <w:rPr>
                <w:rFonts w:hint="eastAsia" w:ascii="方正仿宋_GBK" w:hAnsi="方正仿宋_GBK" w:eastAsia="方正仿宋_GBK" w:cs="方正仿宋_GBK"/>
                <w:sz w:val="21"/>
                <w:szCs w:val="21"/>
              </w:rPr>
            </w:pPr>
          </w:p>
        </w:tc>
      </w:tr>
    </w:tbl>
    <w:p w14:paraId="4B69E03C">
      <w:pPr>
        <w:spacing w:line="103" w:lineRule="exact"/>
        <w:rPr>
          <w:rFonts w:ascii="Arial"/>
          <w:sz w:val="9"/>
        </w:rPr>
      </w:pPr>
    </w:p>
    <w:p w14:paraId="15695172">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rPr>
        <w:t>第十条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本评审标准由采购人负责解释。</w:t>
      </w:r>
    </w:p>
    <w:p w14:paraId="3ABA5821">
      <w:pPr>
        <w:pStyle w:val="13"/>
        <w:spacing w:line="360" w:lineRule="auto"/>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color w:val="000000"/>
          <w:sz w:val="28"/>
          <w:szCs w:val="28"/>
        </w:rPr>
        <w:t>第十</w:t>
      </w:r>
      <w:r>
        <w:rPr>
          <w:rFonts w:hint="eastAsia" w:ascii="方正仿宋_GB2312" w:hAnsi="方正仿宋_GB2312" w:eastAsia="方正仿宋_GB2312" w:cs="方正仿宋_GB2312"/>
          <w:b/>
          <w:color w:val="000000"/>
          <w:sz w:val="28"/>
          <w:szCs w:val="28"/>
          <w:lang w:val="en-US" w:eastAsia="zh-CN"/>
        </w:rPr>
        <w:t>一</w:t>
      </w:r>
      <w:r>
        <w:rPr>
          <w:rFonts w:hint="eastAsia" w:ascii="方正仿宋_GB2312" w:hAnsi="方正仿宋_GB2312" w:eastAsia="方正仿宋_GB2312" w:cs="方正仿宋_GB2312"/>
          <w:b/>
          <w:color w:val="000000"/>
          <w:sz w:val="28"/>
          <w:szCs w:val="28"/>
        </w:rPr>
        <w:t>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本评审标准作为</w:t>
      </w:r>
      <w:r>
        <w:rPr>
          <w:rFonts w:hint="eastAsia" w:ascii="方正仿宋_GB2312" w:hAnsi="方正仿宋_GB2312" w:eastAsia="方正仿宋_GB2312" w:cs="方正仿宋_GB2312"/>
          <w:color w:val="000000"/>
          <w:sz w:val="28"/>
          <w:szCs w:val="28"/>
          <w:lang w:val="en-US" w:eastAsia="zh-CN"/>
        </w:rPr>
        <w:t>比选</w:t>
      </w:r>
      <w:r>
        <w:rPr>
          <w:rFonts w:hint="eastAsia" w:ascii="方正仿宋_GB2312" w:hAnsi="方正仿宋_GB2312" w:eastAsia="方正仿宋_GB2312" w:cs="方正仿宋_GB2312"/>
          <w:color w:val="000000"/>
          <w:sz w:val="28"/>
          <w:szCs w:val="28"/>
        </w:rPr>
        <w:t>文件的组成部分，与</w:t>
      </w:r>
      <w:r>
        <w:rPr>
          <w:rFonts w:hint="eastAsia" w:ascii="方正仿宋_GB2312" w:hAnsi="方正仿宋_GB2312" w:eastAsia="方正仿宋_GB2312" w:cs="方正仿宋_GB2312"/>
          <w:color w:val="000000"/>
          <w:sz w:val="28"/>
          <w:szCs w:val="28"/>
          <w:lang w:val="en-US" w:eastAsia="zh-CN"/>
        </w:rPr>
        <w:t>比选</w:t>
      </w:r>
      <w:r>
        <w:rPr>
          <w:rFonts w:hint="eastAsia" w:ascii="方正仿宋_GB2312" w:hAnsi="方正仿宋_GB2312" w:eastAsia="方正仿宋_GB2312" w:cs="方正仿宋_GB2312"/>
          <w:color w:val="000000"/>
          <w:sz w:val="28"/>
          <w:szCs w:val="28"/>
        </w:rPr>
        <w:t>文件具有同等法律效力。</w:t>
      </w:r>
    </w:p>
    <w:p w14:paraId="5835CA03">
      <w:pPr>
        <w:pStyle w:val="13"/>
        <w:spacing w:line="360" w:lineRule="auto"/>
        <w:ind w:firstLine="562" w:firstLineChars="200"/>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color w:val="000000"/>
          <w:sz w:val="28"/>
          <w:szCs w:val="28"/>
        </w:rPr>
        <w:t>第十</w:t>
      </w:r>
      <w:r>
        <w:rPr>
          <w:rFonts w:hint="eastAsia" w:ascii="方正仿宋_GB2312" w:hAnsi="方正仿宋_GB2312" w:eastAsia="方正仿宋_GB2312" w:cs="方正仿宋_GB2312"/>
          <w:b/>
          <w:color w:val="000000"/>
          <w:sz w:val="28"/>
          <w:szCs w:val="28"/>
          <w:lang w:val="en-US" w:eastAsia="zh-CN"/>
        </w:rPr>
        <w:t>二</w:t>
      </w:r>
      <w:r>
        <w:rPr>
          <w:rFonts w:hint="eastAsia" w:ascii="方正仿宋_GB2312" w:hAnsi="方正仿宋_GB2312" w:eastAsia="方正仿宋_GB2312" w:cs="方正仿宋_GB2312"/>
          <w:b/>
          <w:color w:val="000000"/>
          <w:sz w:val="28"/>
          <w:szCs w:val="28"/>
        </w:rPr>
        <w:t>条</w:t>
      </w:r>
      <w:r>
        <w:rPr>
          <w:rFonts w:hint="eastAsia" w:ascii="方正仿宋_GB2312" w:hAnsi="方正仿宋_GB2312" w:eastAsia="方正仿宋_GB2312" w:cs="方正仿宋_GB2312"/>
          <w:b/>
          <w:color w:val="000000"/>
          <w:sz w:val="28"/>
          <w:szCs w:val="28"/>
          <w:lang w:val="en-US" w:eastAsia="zh-CN"/>
        </w:rPr>
        <w:t xml:space="preserve"> </w:t>
      </w:r>
      <w:r>
        <w:rPr>
          <w:rFonts w:hint="eastAsia" w:ascii="方正仿宋_GB2312" w:hAnsi="方正仿宋_GB2312" w:eastAsia="方正仿宋_GB2312" w:cs="方正仿宋_GB2312"/>
          <w:color w:val="000000"/>
          <w:sz w:val="28"/>
          <w:szCs w:val="28"/>
        </w:rPr>
        <w:t>供应商如认为</w:t>
      </w:r>
      <w:r>
        <w:rPr>
          <w:rFonts w:hint="eastAsia" w:ascii="方正仿宋_GB2312" w:hAnsi="方正仿宋_GB2312" w:eastAsia="方正仿宋_GB2312" w:cs="方正仿宋_GB2312"/>
          <w:color w:val="000000"/>
          <w:sz w:val="28"/>
          <w:szCs w:val="28"/>
          <w:lang w:val="en-US" w:eastAsia="zh-CN"/>
        </w:rPr>
        <w:t>比选</w:t>
      </w:r>
      <w:r>
        <w:rPr>
          <w:rFonts w:hint="eastAsia" w:ascii="方正仿宋_GB2312" w:hAnsi="方正仿宋_GB2312" w:eastAsia="方正仿宋_GB2312" w:cs="方正仿宋_GB2312"/>
          <w:color w:val="000000"/>
          <w:sz w:val="28"/>
          <w:szCs w:val="28"/>
        </w:rPr>
        <w:t>文件、采购过程和中标、成交结果使自己的权益受到损害，有权依据《中华人民共和国政府采购法》的规定，在法定期限内以书面形式向采购人提出质疑。</w:t>
      </w:r>
    </w:p>
    <w:p w14:paraId="3678E4CB">
      <w:pPr>
        <w:pStyle w:val="13"/>
        <w:spacing w:line="360" w:lineRule="auto"/>
        <w:ind w:firstLine="560" w:firstLineChars="200"/>
        <w:rPr>
          <w:rFonts w:hint="eastAsia" w:ascii="方正仿宋_GB2312" w:hAnsi="方正仿宋_GB2312" w:eastAsia="方正仿宋_GB2312" w:cs="方正仿宋_GB2312"/>
          <w:color w:val="000000"/>
          <w:sz w:val="28"/>
          <w:szCs w:val="28"/>
        </w:rPr>
      </w:pPr>
    </w:p>
    <w:p w14:paraId="5E3EEA8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4" w:lineRule="atLeast"/>
        <w:ind w:left="0" w:right="0" w:firstLine="0"/>
        <w:jc w:val="right"/>
        <w:rPr>
          <w:rFonts w:hint="eastAsia" w:ascii="方正仿宋_GB2312" w:hAnsi="方正仿宋_GB2312" w:eastAsia="方正仿宋_GB2312" w:cs="方正仿宋_GB2312"/>
          <w:i w:val="0"/>
          <w:iCs w:val="0"/>
          <w:caps w:val="0"/>
          <w:color w:val="auto"/>
          <w:spacing w:val="0"/>
          <w:sz w:val="28"/>
          <w:szCs w:val="28"/>
        </w:rPr>
      </w:pPr>
      <w:r>
        <w:rPr>
          <w:rFonts w:hint="eastAsia" w:ascii="方正仿宋_GB2312" w:hAnsi="方正仿宋_GB2312" w:eastAsia="方正仿宋_GB2312" w:cs="方正仿宋_GB2312"/>
          <w:i w:val="0"/>
          <w:iCs w:val="0"/>
          <w:caps w:val="0"/>
          <w:color w:val="auto"/>
          <w:spacing w:val="0"/>
          <w:sz w:val="28"/>
          <w:szCs w:val="28"/>
          <w:shd w:val="clear" w:fill="FFFFFF"/>
        </w:rPr>
        <w:t>云南省渔业科学研究院</w:t>
      </w:r>
    </w:p>
    <w:p w14:paraId="1DE4EA0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204" w:lineRule="atLeast"/>
        <w:ind w:left="0" w:right="0" w:firstLine="0"/>
        <w:jc w:val="right"/>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i w:val="0"/>
          <w:iCs w:val="0"/>
          <w:caps w:val="0"/>
          <w:color w:val="auto"/>
          <w:spacing w:val="0"/>
          <w:sz w:val="28"/>
          <w:szCs w:val="28"/>
          <w:shd w:val="clear" w:fill="FFFFFF"/>
        </w:rPr>
        <w:t>2026年</w:t>
      </w:r>
      <w:r>
        <w:rPr>
          <w:rFonts w:hint="eastAsia" w:ascii="方正仿宋_GB2312" w:hAnsi="方正仿宋_GB2312" w:eastAsia="方正仿宋_GB2312" w:cs="方正仿宋_GB2312"/>
          <w:i w:val="0"/>
          <w:iCs w:val="0"/>
          <w:caps w:val="0"/>
          <w:color w:val="auto"/>
          <w:spacing w:val="0"/>
          <w:sz w:val="28"/>
          <w:szCs w:val="28"/>
          <w:shd w:val="clear" w:fill="FFFFFF"/>
          <w:lang w:val="en-US" w:eastAsia="zh-CN"/>
        </w:rPr>
        <w:t>7</w:t>
      </w:r>
      <w:r>
        <w:rPr>
          <w:rFonts w:hint="eastAsia" w:ascii="方正仿宋_GB2312" w:hAnsi="方正仿宋_GB2312" w:eastAsia="方正仿宋_GB2312" w:cs="方正仿宋_GB2312"/>
          <w:i w:val="0"/>
          <w:iCs w:val="0"/>
          <w:caps w:val="0"/>
          <w:color w:val="auto"/>
          <w:spacing w:val="0"/>
          <w:sz w:val="28"/>
          <w:szCs w:val="28"/>
          <w:shd w:val="clear" w:fill="FFFFFF"/>
        </w:rPr>
        <w:t>月</w:t>
      </w:r>
      <w:r>
        <w:rPr>
          <w:rFonts w:hint="eastAsia" w:ascii="方正仿宋_GB2312" w:hAnsi="方正仿宋_GB2312" w:eastAsia="方正仿宋_GB2312" w:cs="方正仿宋_GB2312"/>
          <w:i w:val="0"/>
          <w:iCs w:val="0"/>
          <w:caps w:val="0"/>
          <w:color w:val="auto"/>
          <w:spacing w:val="0"/>
          <w:sz w:val="28"/>
          <w:szCs w:val="28"/>
          <w:shd w:val="clear" w:fill="FFFFFF"/>
          <w:lang w:val="en-US" w:eastAsia="zh-CN"/>
        </w:rPr>
        <w:t>31</w:t>
      </w:r>
      <w:r>
        <w:rPr>
          <w:rFonts w:hint="eastAsia" w:ascii="方正仿宋_GB2312" w:hAnsi="方正仿宋_GB2312" w:eastAsia="方正仿宋_GB2312" w:cs="方正仿宋_GB2312"/>
          <w:i w:val="0"/>
          <w:iCs w:val="0"/>
          <w:caps w:val="0"/>
          <w:color w:val="auto"/>
          <w:spacing w:val="0"/>
          <w:sz w:val="28"/>
          <w:szCs w:val="28"/>
          <w:shd w:val="clear" w:fill="FFFFFF"/>
        </w:rPr>
        <w:t>日</w:t>
      </w:r>
      <w:r>
        <w:rPr>
          <w:rFonts w:hint="eastAsia" w:ascii="方正仿宋_GB2312" w:hAnsi="方正仿宋_GB2312" w:eastAsia="方正仿宋_GB2312" w:cs="方正仿宋_GB2312"/>
          <w:i w:val="0"/>
          <w:iCs w:val="0"/>
          <w:caps w:val="0"/>
          <w:color w:val="auto"/>
          <w:spacing w:val="0"/>
          <w:sz w:val="28"/>
          <w:szCs w:val="28"/>
          <w:shd w:val="clear" w:fill="FFFFFF"/>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7BCED13-F4AA-40AC-9CE0-AB8E0EFA5B1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922C3691-E50E-4E3D-8275-A267929CB2AE}"/>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BE40D9DE-AB29-4055-9E33-D322AEF3B542}"/>
  </w:font>
  <w:font w:name="方正仿宋_GBK">
    <w:panose1 w:val="03000509000000000000"/>
    <w:charset w:val="86"/>
    <w:family w:val="auto"/>
    <w:pitch w:val="default"/>
    <w:sig w:usb0="00000001" w:usb1="080E0000" w:usb2="00000000" w:usb3="00000000" w:csb0="00040000" w:csb1="00000000"/>
    <w:embedRegular r:id="rId4" w:fontKey="{D7166A88-7FE6-4333-82AC-29B857149A38}"/>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YWNjMDE0ZGU4NjE0MWMzZDdjYjZkMjNkNjJiMTIifQ=="/>
  </w:docVars>
  <w:rsids>
    <w:rsidRoot w:val="703417DC"/>
    <w:rsid w:val="014F4893"/>
    <w:rsid w:val="02544165"/>
    <w:rsid w:val="02824C2E"/>
    <w:rsid w:val="03263FEE"/>
    <w:rsid w:val="03DB46A6"/>
    <w:rsid w:val="0611219A"/>
    <w:rsid w:val="0B29179E"/>
    <w:rsid w:val="0BC041AE"/>
    <w:rsid w:val="0BCE004A"/>
    <w:rsid w:val="0BDB7148"/>
    <w:rsid w:val="0CB41656"/>
    <w:rsid w:val="0DEA031F"/>
    <w:rsid w:val="0E3B4979"/>
    <w:rsid w:val="120D7764"/>
    <w:rsid w:val="12CC5E6A"/>
    <w:rsid w:val="131B42F0"/>
    <w:rsid w:val="16D2799A"/>
    <w:rsid w:val="17067FF2"/>
    <w:rsid w:val="19D163E9"/>
    <w:rsid w:val="1B8436AF"/>
    <w:rsid w:val="1C8516B1"/>
    <w:rsid w:val="1D5052F0"/>
    <w:rsid w:val="1E2119EA"/>
    <w:rsid w:val="1F845524"/>
    <w:rsid w:val="21FA7AAB"/>
    <w:rsid w:val="2231042B"/>
    <w:rsid w:val="23FF13A9"/>
    <w:rsid w:val="25493D6C"/>
    <w:rsid w:val="26B92CAC"/>
    <w:rsid w:val="2ACC0052"/>
    <w:rsid w:val="2F8127EE"/>
    <w:rsid w:val="30A838E1"/>
    <w:rsid w:val="31A0796B"/>
    <w:rsid w:val="357D411A"/>
    <w:rsid w:val="35F92B68"/>
    <w:rsid w:val="365212DD"/>
    <w:rsid w:val="37D911E5"/>
    <w:rsid w:val="38933405"/>
    <w:rsid w:val="396C6937"/>
    <w:rsid w:val="3DBD1D2D"/>
    <w:rsid w:val="3E9C307A"/>
    <w:rsid w:val="3F537201"/>
    <w:rsid w:val="402D4D88"/>
    <w:rsid w:val="44202F4A"/>
    <w:rsid w:val="459F064A"/>
    <w:rsid w:val="467363C2"/>
    <w:rsid w:val="48002FE4"/>
    <w:rsid w:val="492848D9"/>
    <w:rsid w:val="4CD55188"/>
    <w:rsid w:val="4F2D56C3"/>
    <w:rsid w:val="509C604E"/>
    <w:rsid w:val="529C5647"/>
    <w:rsid w:val="53590BEF"/>
    <w:rsid w:val="569E27DD"/>
    <w:rsid w:val="58024040"/>
    <w:rsid w:val="58DC7B6D"/>
    <w:rsid w:val="5E702F18"/>
    <w:rsid w:val="5F080EC6"/>
    <w:rsid w:val="5FAF086F"/>
    <w:rsid w:val="634871C3"/>
    <w:rsid w:val="636B6AA9"/>
    <w:rsid w:val="63FC4B8C"/>
    <w:rsid w:val="65D803E7"/>
    <w:rsid w:val="67D341B1"/>
    <w:rsid w:val="69610923"/>
    <w:rsid w:val="69F3670C"/>
    <w:rsid w:val="6A0960D7"/>
    <w:rsid w:val="6A8A6097"/>
    <w:rsid w:val="6C4244EF"/>
    <w:rsid w:val="703417DC"/>
    <w:rsid w:val="70F17325"/>
    <w:rsid w:val="715F5B8B"/>
    <w:rsid w:val="73C81B9F"/>
    <w:rsid w:val="75A13C66"/>
    <w:rsid w:val="78B06A3C"/>
    <w:rsid w:val="7B7F30A8"/>
    <w:rsid w:val="7C921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400" w:lineRule="exact"/>
      <w:jc w:val="center"/>
      <w:outlineLvl w:val="1"/>
    </w:pPr>
    <w:rPr>
      <w:rFonts w:ascii="Arial" w:hAnsi="Arial"/>
      <w:b/>
      <w:kern w:val="0"/>
      <w:sz w:val="3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adjustRightInd w:val="0"/>
      <w:spacing w:line="440" w:lineRule="exact"/>
    </w:pPr>
    <w:rPr>
      <w:rFonts w:ascii="宋体" w:hAnsi="宋体"/>
      <w:b/>
      <w:color w:val="000000"/>
      <w:sz w:val="24"/>
    </w:rPr>
  </w:style>
  <w:style w:type="paragraph" w:styleId="5">
    <w:name w:val="Date"/>
    <w:basedOn w:val="1"/>
    <w:next w:val="1"/>
    <w:qFormat/>
    <w:uiPriority w:val="0"/>
    <w:pPr>
      <w:ind w:left="100" w:leftChars="2500"/>
    </w:pPr>
    <w:rPr>
      <w:rFonts w:ascii="宋体"/>
      <w:kern w:val="0"/>
      <w:sz w:val="24"/>
    </w:rPr>
  </w:style>
  <w:style w:type="paragraph" w:styleId="6">
    <w:name w:val="Body Text Indent"/>
    <w:basedOn w:val="1"/>
    <w:qFormat/>
    <w:uiPriority w:val="0"/>
    <w:pPr>
      <w:spacing w:line="200" w:lineRule="exact"/>
      <w:ind w:firstLine="301"/>
    </w:pPr>
    <w:rPr>
      <w:rFonts w:ascii="宋体"/>
      <w:spacing w:val="-4"/>
      <w:sz w:val="18"/>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6"/>
    <w:unhideWhenUsed/>
    <w:qFormat/>
    <w:uiPriority w:val="99"/>
    <w:pPr>
      <w:spacing w:after="120" w:line="240" w:lineRule="auto"/>
      <w:ind w:left="420" w:leftChars="200" w:firstLine="420" w:firstLineChars="200"/>
    </w:pPr>
    <w:rPr>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null5"/>
    <w:hidden/>
    <w:qFormat/>
    <w:uiPriority w:val="0"/>
    <w:rPr>
      <w:rFonts w:hint="eastAsia" w:ascii="仿宋_GB2312" w:hAnsi="仿宋_GB2312" w:eastAsia="仿宋_GB2312" w:cs="仿宋_GB2312"/>
      <w:sz w:val="24"/>
      <w:szCs w:val="24"/>
      <w:lang w:val="en-US" w:eastAsia="zh-CN" w:bidi="ar-SA"/>
    </w:rPr>
  </w:style>
  <w:style w:type="paragraph" w:customStyle="1" w:styleId="14">
    <w:name w:val="Table Paragraph"/>
    <w:basedOn w:val="1"/>
    <w:qFormat/>
    <w:uiPriority w:val="0"/>
    <w:pPr>
      <w:spacing w:before="85"/>
      <w:jc w:val="center"/>
    </w:pPr>
    <w:rPr>
      <w:rFonts w:ascii="宋体" w:hAnsi="宋体" w:eastAsia="宋体" w:cs="宋体"/>
      <w:lang w:eastAsia="en-US" w:bidi="en-US"/>
    </w:rPr>
  </w:style>
  <w:style w:type="paragraph" w:customStyle="1" w:styleId="15">
    <w:name w:val="Table Text"/>
    <w:basedOn w:val="1"/>
    <w:semiHidden/>
    <w:qFormat/>
    <w:uiPriority w:val="0"/>
    <w:rPr>
      <w:rFonts w:ascii="宋体" w:hAnsi="宋体" w:eastAsia="宋体" w:cs="宋体"/>
      <w:sz w:val="13"/>
      <w:szCs w:val="13"/>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1955</Words>
  <Characters>1996</Characters>
  <Lines>0</Lines>
  <Paragraphs>0</Paragraphs>
  <TotalTime>15</TotalTime>
  <ScaleCrop>false</ScaleCrop>
  <LinksUpToDate>false</LinksUpToDate>
  <CharactersWithSpaces>2016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2025-04-07T06:33:00Z</dcterms:created>
  <dc:creator>赵静霞</dc:creator>
  <cp:lastModifiedBy>我到底是兔纸还是喵</cp:lastModifiedBy>
  <cp:lastPrinted>2026-04-29T03:24:00Z</cp:lastPrinted>
  <dcterms:modified xsi:type="dcterms:W3CDTF">2026-07-31T06:15:35Z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36E2BA07067246FBB9FEF814BA237485_13</vt:lpwstr>
  </property>
  <property fmtid="{D5CDD505-2E9C-101B-9397-08002B2CF9AE}" pid="4" name="KSOTemplateDocerSaveRecord">
    <vt:lpwstr>eyJoZGlkIjoiMzEwNTM5NzYwMDRjMzkwZTVkZjY2ODkwMGIxNGU0OTUiLCJ1c2VySWQiOiI1NzkyMTIwNDkifQ==</vt:lpwstr>
  </property>
</Properties>
</file>