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292822">
      <w:pPr>
        <w:pStyle w:val="14"/>
        <w:spacing w:line="360" w:lineRule="auto"/>
        <w:jc w:val="center"/>
        <w:outlineLvl w:val="0"/>
        <w:rPr>
          <w:rFonts w:ascii="方正仿宋_GB2312" w:hAnsi="方正仿宋_GB2312" w:eastAsia="方正仿宋_GB2312" w:cs="方正仿宋_GB2312"/>
        </w:rPr>
      </w:pPr>
      <w:bookmarkStart w:id="0" w:name="_GoBack"/>
      <w:bookmarkEnd w:id="0"/>
      <w:r>
        <w:rPr>
          <w:rFonts w:ascii="方正仿宋_GB2312" w:hAnsi="方正仿宋_GB2312" w:eastAsia="方正仿宋_GB2312" w:cs="方正仿宋_GB2312"/>
          <w:b/>
          <w:sz w:val="48"/>
        </w:rPr>
        <w:t>采购项目评审标准</w:t>
      </w:r>
    </w:p>
    <w:p w14:paraId="46FB3F51">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第一条 制定依据与目的</w:t>
      </w:r>
    </w:p>
    <w:p w14:paraId="75CB59B4">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为规范</w:t>
      </w:r>
      <w:r>
        <w:rPr>
          <w:rFonts w:hint="eastAsia" w:ascii="方正仿宋_GB2312" w:hAnsi="方正仿宋_GB2312" w:eastAsia="方正仿宋_GB2312" w:cs="方正仿宋_GB2312"/>
          <w:color w:val="000000"/>
          <w:sz w:val="28"/>
          <w:lang w:val="en-US" w:eastAsia="zh-CN"/>
        </w:rPr>
        <w:t>本次采购</w:t>
      </w:r>
      <w:r>
        <w:rPr>
          <w:rFonts w:ascii="方正仿宋_GB2312" w:hAnsi="方正仿宋_GB2312" w:eastAsia="方正仿宋_GB2312" w:cs="方正仿宋_GB2312"/>
          <w:color w:val="000000"/>
          <w:sz w:val="28"/>
        </w:rPr>
        <w:t>的评审活动，确保采购过程合法、合规、公开、公平、公正，根据</w:t>
      </w:r>
      <w:r>
        <w:rPr>
          <w:rFonts w:hint="eastAsia" w:ascii="方正仿宋_GB2312" w:hAnsi="方正仿宋_GB2312" w:eastAsia="方正仿宋_GB2312" w:cs="方正仿宋_GB2312"/>
          <w:color w:val="000000"/>
          <w:sz w:val="28"/>
          <w:lang w:val="en-US" w:eastAsia="zh-CN"/>
        </w:rPr>
        <w:t>本单位采购规定</w:t>
      </w:r>
      <w:r>
        <w:rPr>
          <w:rFonts w:ascii="方正仿宋_GB2312" w:hAnsi="方正仿宋_GB2312" w:eastAsia="方正仿宋_GB2312" w:cs="方正仿宋_GB2312"/>
          <w:color w:val="000000"/>
          <w:sz w:val="28"/>
        </w:rPr>
        <w:t>，结合本项目采购需求的具体特点和实际需要，制定本评审标准。</w:t>
      </w:r>
    </w:p>
    <w:p w14:paraId="12C0138F">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第二条 适用范围</w:t>
      </w:r>
    </w:p>
    <w:p w14:paraId="3739020E">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本评审标准适用于本项目采购的评审活动，是评审委员会对所有供应商提交的响应文件进行评审和打分的唯一依据。评审委员会及所有参与采购活动的相关人员必须严格遵守。</w:t>
      </w:r>
    </w:p>
    <w:p w14:paraId="6DD94FC1">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第三条 评审基本原则</w:t>
      </w:r>
    </w:p>
    <w:p w14:paraId="410277C7">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评审活动应当遵循政府采购公开透明、公平竞争、公正和诚实信用的原则。具体而言：</w:t>
      </w:r>
    </w:p>
    <w:p w14:paraId="72149FBC">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1.</w:t>
      </w:r>
      <w:r>
        <w:rPr>
          <w:rFonts w:ascii="方正仿宋_GB2312" w:hAnsi="方正仿宋_GB2312" w:eastAsia="方正仿宋_GB2312" w:cs="方正仿宋_GB2312"/>
          <w:b/>
          <w:color w:val="000000"/>
          <w:sz w:val="28"/>
        </w:rPr>
        <w:t>公开透明原则：</w:t>
      </w:r>
      <w:r>
        <w:rPr>
          <w:rFonts w:ascii="方正仿宋_GB2312" w:hAnsi="方正仿宋_GB2312" w:eastAsia="方正仿宋_GB2312" w:cs="方正仿宋_GB2312"/>
          <w:color w:val="000000"/>
          <w:sz w:val="28"/>
        </w:rPr>
        <w:t>本评审标准随采购文件公开发布，评审过程及结果依法公开，确保所有程序可追溯。</w:t>
      </w:r>
    </w:p>
    <w:p w14:paraId="2C377234">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2.</w:t>
      </w:r>
      <w:r>
        <w:rPr>
          <w:rFonts w:ascii="方正仿宋_GB2312" w:hAnsi="方正仿宋_GB2312" w:eastAsia="方正仿宋_GB2312" w:cs="方正仿宋_GB2312"/>
          <w:b/>
          <w:color w:val="000000"/>
          <w:sz w:val="28"/>
        </w:rPr>
        <w:t>公平公正原则：</w:t>
      </w:r>
      <w:r>
        <w:rPr>
          <w:rFonts w:ascii="方正仿宋_GB2312" w:hAnsi="方正仿宋_GB2312" w:eastAsia="方正仿宋_GB2312" w:cs="方正仿宋_GB2312"/>
          <w:color w:val="000000"/>
          <w:sz w:val="28"/>
        </w:rPr>
        <w:t>对所有供应商一视同仁，评审标准的设定严格以采购项目的具体特点和实际需要为依据，禁止设定与合同履行无关的资格、技术、商务条件，严禁以不合理的条件对供应商实行差别待遇或者歧视待遇。</w:t>
      </w:r>
    </w:p>
    <w:p w14:paraId="32E76DDA">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3.</w:t>
      </w:r>
      <w:r>
        <w:rPr>
          <w:rFonts w:ascii="方正仿宋_GB2312" w:hAnsi="方正仿宋_GB2312" w:eastAsia="方正仿宋_GB2312" w:cs="方正仿宋_GB2312"/>
          <w:b/>
          <w:color w:val="000000"/>
          <w:sz w:val="28"/>
        </w:rPr>
        <w:t>科学合理原则：</w:t>
      </w:r>
      <w:r>
        <w:rPr>
          <w:rFonts w:ascii="方正仿宋_GB2312" w:hAnsi="方正仿宋_GB2312" w:eastAsia="方正仿宋_GB2312" w:cs="方正仿宋_GB2312"/>
          <w:color w:val="000000"/>
          <w:sz w:val="28"/>
        </w:rPr>
        <w:t>评审因素全面、客观，评分标准具体、明确、可操作，权重分配合理，能够科学评估供应商提供的产品、价格、服务及履约能力。</w:t>
      </w:r>
    </w:p>
    <w:p w14:paraId="5E8504F1">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4.</w:t>
      </w:r>
      <w:r>
        <w:rPr>
          <w:rFonts w:ascii="方正仿宋_GB2312" w:hAnsi="方正仿宋_GB2312" w:eastAsia="方正仿宋_GB2312" w:cs="方正仿宋_GB2312"/>
          <w:b/>
          <w:color w:val="000000"/>
          <w:sz w:val="28"/>
        </w:rPr>
        <w:t>竞争择优原则：</w:t>
      </w:r>
      <w:r>
        <w:rPr>
          <w:rFonts w:ascii="方正仿宋_GB2312" w:hAnsi="方正仿宋_GB2312" w:eastAsia="方正仿宋_GB2312" w:cs="方正仿宋_GB2312"/>
          <w:color w:val="000000"/>
          <w:sz w:val="28"/>
        </w:rPr>
        <w:t>通过综合评审，在满足全部实质性要求的前提下，择优选择综合实力强、报价合理、最符合采购需求的成交供应商。</w:t>
      </w:r>
    </w:p>
    <w:p w14:paraId="3309E6CE">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第四条 评审委员会组成</w:t>
      </w:r>
    </w:p>
    <w:p w14:paraId="1EB49A12">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本项目评审委员会（即询价小组）由采购人代表和评审专家共三人以上的单数组成，其中评审专家的人数不得少于成员总数的三分之二。评审委员会成员应当独立、客观、公正地进行评审，并对本人的评审意见承担个人责任。评审委员会名单在成交结果公告前应当保密。</w:t>
      </w:r>
    </w:p>
    <w:p w14:paraId="18650623">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第五条 评审方法与程序</w:t>
      </w:r>
    </w:p>
    <w:p w14:paraId="669F3F9E">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1.</w:t>
      </w:r>
      <w:r>
        <w:rPr>
          <w:rFonts w:ascii="方正仿宋_GB2312" w:hAnsi="方正仿宋_GB2312" w:eastAsia="方正仿宋_GB2312" w:cs="方正仿宋_GB2312"/>
          <w:b/>
          <w:color w:val="000000"/>
          <w:sz w:val="28"/>
        </w:rPr>
        <w:t>评审方法：</w:t>
      </w:r>
      <w:r>
        <w:rPr>
          <w:rFonts w:ascii="方正仿宋_GB2312" w:hAnsi="方正仿宋_GB2312" w:eastAsia="方正仿宋_GB2312" w:cs="方正仿宋_GB2312"/>
          <w:color w:val="000000"/>
          <w:sz w:val="28"/>
        </w:rPr>
        <w:t>本项目采用综合评分法。评审委员会将依据本评审标准，对通过符合性审查的响应文件进行评审和打分，按总得分由高到低的顺序推荐成交候选人。</w:t>
      </w:r>
    </w:p>
    <w:p w14:paraId="3112A336">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2.</w:t>
      </w:r>
      <w:r>
        <w:rPr>
          <w:rFonts w:ascii="方正仿宋_GB2312" w:hAnsi="方正仿宋_GB2312" w:eastAsia="方正仿宋_GB2312" w:cs="方正仿宋_GB2312"/>
          <w:b/>
          <w:color w:val="000000"/>
          <w:sz w:val="28"/>
        </w:rPr>
        <w:t>评审程序：</w:t>
      </w:r>
    </w:p>
    <w:p w14:paraId="10B8263F">
      <w:pPr>
        <w:pStyle w:val="14"/>
        <w:spacing w:line="360" w:lineRule="auto"/>
        <w:ind w:firstLineChars="200"/>
        <w:rPr>
          <w:rFonts w:ascii="方正仿宋_GB2312" w:hAnsi="方正仿宋_GB2312" w:eastAsia="方正仿宋_GB2312" w:cs="方正仿宋_GB2312"/>
          <w:color w:val="000000"/>
          <w:sz w:val="28"/>
        </w:rPr>
      </w:pPr>
      <w:r>
        <w:rPr>
          <w:rFonts w:ascii="方正仿宋_GB2312" w:hAnsi="方正仿宋_GB2312" w:eastAsia="方正仿宋_GB2312" w:cs="方正仿宋_GB2312"/>
          <w:color w:val="000000"/>
          <w:sz w:val="28"/>
        </w:rPr>
        <w:t>符合性审查：评审委员会首先依据采购文件规定的供应商资格要求及响应文件递交要求，对所有响应文件进行资格性检查和符合性审查。未通过审查的响应文件，不再进入详细评审。</w:t>
      </w:r>
    </w:p>
    <w:p w14:paraId="529B2039">
      <w:pPr>
        <w:pStyle w:val="14"/>
        <w:spacing w:line="360" w:lineRule="auto"/>
        <w:ind w:firstLineChars="200"/>
        <w:rPr>
          <w:rFonts w:ascii="方正仿宋_GB2312" w:hAnsi="方正仿宋_GB2312" w:eastAsia="方正仿宋_GB2312" w:cs="方正仿宋_GB2312"/>
          <w:color w:val="000000"/>
          <w:sz w:val="28"/>
        </w:rPr>
      </w:pPr>
      <w:r>
        <w:rPr>
          <w:rFonts w:ascii="方正仿宋_GB2312" w:hAnsi="方正仿宋_GB2312" w:eastAsia="方正仿宋_GB2312" w:cs="方正仿宋_GB2312"/>
          <w:color w:val="000000"/>
          <w:sz w:val="28"/>
        </w:rPr>
        <w:t xml:space="preserve"> 详细评审：对通过符合性审查的响应文件，评审委员会各成员应按照本评审标准第六章的评分细则，独立进行评审和打分。所有评分必须基于响应文件中提供的、清晰有效的证明材料，并详细记录打分理由。 </w:t>
      </w:r>
    </w:p>
    <w:p w14:paraId="1AE9766B">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汇总与推荐：评审委员会完成独立打分后，进行汇总，计算各供应商的最终评审得分。按照最终得分由高到低的顺序推荐成交候选供应商。</w:t>
      </w:r>
    </w:p>
    <w:p w14:paraId="50EB428C">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第六条 评分细则</w:t>
      </w:r>
    </w:p>
    <w:p w14:paraId="3BD25183">
      <w:pPr>
        <w:spacing w:line="520" w:lineRule="exact"/>
        <w:ind w:firstLine="552" w:firstLineChars="200"/>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本次采购项目采用</w:t>
      </w:r>
      <w:r>
        <w:rPr>
          <w:rFonts w:hint="eastAsia" w:ascii="方正仿宋_GB2312" w:hAnsi="方正仿宋_GB2312" w:eastAsia="方正仿宋_GB2312" w:cs="方正仿宋_GB2312"/>
          <w:sz w:val="28"/>
          <w:szCs w:val="28"/>
          <w:u w:val="single"/>
        </w:rPr>
        <w:t>综合评分法</w:t>
      </w:r>
      <w:r>
        <w:rPr>
          <w:rFonts w:hint="eastAsia" w:ascii="方正仿宋_GB2312" w:hAnsi="方正仿宋_GB2312" w:eastAsia="方正仿宋_GB2312" w:cs="方正仿宋_GB2312"/>
          <w:sz w:val="28"/>
          <w:szCs w:val="28"/>
        </w:rPr>
        <w:t>。评审委员会根据本评审办法对已接收的响应文件进行评审，推荐成交候选人并撰写评审报告，最终按照评审报告中成交候选人排序，按得分从高到低的原则确定成交供应商，评审总分100分。</w:t>
      </w:r>
    </w:p>
    <w:tbl>
      <w:tblPr>
        <w:tblStyle w:val="9"/>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064"/>
        <w:gridCol w:w="850"/>
        <w:gridCol w:w="7042"/>
      </w:tblGrid>
      <w:tr w14:paraId="6DF7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 w:type="dxa"/>
            <w:vAlign w:val="center"/>
          </w:tcPr>
          <w:p w14:paraId="650C3946">
            <w:pPr>
              <w:snapToGrid w:val="0"/>
              <w:spacing w:line="520" w:lineRule="exact"/>
              <w:jc w:val="cente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序号</w:t>
            </w:r>
          </w:p>
        </w:tc>
        <w:tc>
          <w:tcPr>
            <w:tcW w:w="1064" w:type="dxa"/>
            <w:vAlign w:val="center"/>
          </w:tcPr>
          <w:p w14:paraId="60517968">
            <w:pPr>
              <w:spacing w:line="520" w:lineRule="exact"/>
              <w:jc w:val="cente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评分项</w:t>
            </w:r>
          </w:p>
        </w:tc>
        <w:tc>
          <w:tcPr>
            <w:tcW w:w="850" w:type="dxa"/>
            <w:vAlign w:val="center"/>
          </w:tcPr>
          <w:p w14:paraId="2902E8DA">
            <w:pPr>
              <w:spacing w:line="520" w:lineRule="exact"/>
              <w:jc w:val="cente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分值</w:t>
            </w:r>
          </w:p>
        </w:tc>
        <w:tc>
          <w:tcPr>
            <w:tcW w:w="7042" w:type="dxa"/>
            <w:vAlign w:val="center"/>
          </w:tcPr>
          <w:p w14:paraId="5E04DFF4">
            <w:pPr>
              <w:spacing w:line="520" w:lineRule="exact"/>
              <w:jc w:val="center"/>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评分标准</w:t>
            </w:r>
          </w:p>
        </w:tc>
      </w:tr>
      <w:tr w14:paraId="2E44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462" w:type="dxa"/>
            <w:vAlign w:val="center"/>
          </w:tcPr>
          <w:p w14:paraId="40D4F038">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w:t>
            </w:r>
          </w:p>
        </w:tc>
        <w:tc>
          <w:tcPr>
            <w:tcW w:w="1064" w:type="dxa"/>
            <w:vAlign w:val="center"/>
          </w:tcPr>
          <w:p w14:paraId="05E77411">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比选</w:t>
            </w:r>
          </w:p>
          <w:p w14:paraId="586DB641">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color w:val="000000"/>
                <w:kern w:val="0"/>
                <w:sz w:val="28"/>
                <w:szCs w:val="28"/>
                <w:lang w:bidi="ar"/>
              </w:rPr>
              <w:t>报价</w:t>
            </w:r>
          </w:p>
        </w:tc>
        <w:tc>
          <w:tcPr>
            <w:tcW w:w="850" w:type="dxa"/>
            <w:vAlign w:val="center"/>
          </w:tcPr>
          <w:p w14:paraId="16FB6462">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满分1</w:t>
            </w:r>
            <w:r>
              <w:rPr>
                <w:rFonts w:hint="eastAsia" w:ascii="方正仿宋_GB2312" w:hAnsi="方正仿宋_GB2312" w:eastAsia="方正仿宋_GB2312" w:cs="方正仿宋_GB2312"/>
                <w:sz w:val="28"/>
                <w:szCs w:val="28"/>
                <w:lang w:val="en-US" w:eastAsia="zh-CN"/>
              </w:rPr>
              <w:t>5</w:t>
            </w:r>
            <w:r>
              <w:rPr>
                <w:rFonts w:hint="eastAsia" w:ascii="方正仿宋_GB2312" w:hAnsi="方正仿宋_GB2312" w:eastAsia="方正仿宋_GB2312" w:cs="方正仿宋_GB2312"/>
                <w:sz w:val="28"/>
                <w:szCs w:val="28"/>
              </w:rPr>
              <w:t>分</w:t>
            </w:r>
          </w:p>
        </w:tc>
        <w:tc>
          <w:tcPr>
            <w:tcW w:w="7042" w:type="dxa"/>
            <w:vAlign w:val="center"/>
          </w:tcPr>
          <w:p w14:paraId="76102FC6">
            <w:pPr>
              <w:widowControl/>
              <w:spacing w:line="480" w:lineRule="exact"/>
              <w:ind w:firstLine="552" w:firstLineChars="200"/>
              <w:jc w:val="left"/>
              <w:textAlignment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以</w:t>
            </w:r>
            <w:r>
              <w:rPr>
                <w:rFonts w:hint="eastAsia" w:ascii="方正仿宋_GB2312" w:hAnsi="方正仿宋_GB2312" w:eastAsia="方正仿宋_GB2312" w:cs="方正仿宋_GB2312"/>
                <w:sz w:val="28"/>
                <w:szCs w:val="28"/>
                <w:lang w:eastAsia="zh-CN"/>
              </w:rPr>
              <w:t>单价报价总和</w:t>
            </w:r>
            <w:r>
              <w:rPr>
                <w:rFonts w:hint="eastAsia" w:ascii="方正仿宋_GB2312" w:hAnsi="方正仿宋_GB2312" w:eastAsia="方正仿宋_GB2312" w:cs="方正仿宋_GB2312"/>
                <w:sz w:val="28"/>
                <w:szCs w:val="28"/>
              </w:rPr>
              <w:t>与基准价的偏离值进行打分，每偏离基准价1%，扣1分，扣完为止；偏离值=（参选单位</w:t>
            </w:r>
            <w:r>
              <w:rPr>
                <w:rFonts w:hint="eastAsia" w:ascii="方正仿宋_GB2312" w:hAnsi="方正仿宋_GB2312" w:eastAsia="方正仿宋_GB2312" w:cs="方正仿宋_GB2312"/>
                <w:sz w:val="28"/>
                <w:szCs w:val="28"/>
                <w:lang w:eastAsia="zh-CN"/>
              </w:rPr>
              <w:t>单价</w:t>
            </w:r>
            <w:r>
              <w:rPr>
                <w:rFonts w:hint="eastAsia" w:ascii="方正仿宋_GB2312" w:hAnsi="方正仿宋_GB2312" w:eastAsia="方正仿宋_GB2312" w:cs="方正仿宋_GB2312"/>
                <w:sz w:val="28"/>
                <w:szCs w:val="28"/>
              </w:rPr>
              <w:t>报价</w:t>
            </w:r>
            <w:r>
              <w:rPr>
                <w:rFonts w:hint="eastAsia" w:ascii="方正仿宋_GB2312" w:hAnsi="方正仿宋_GB2312" w:eastAsia="方正仿宋_GB2312" w:cs="方正仿宋_GB2312"/>
                <w:sz w:val="28"/>
                <w:szCs w:val="28"/>
                <w:lang w:eastAsia="zh-CN"/>
              </w:rPr>
              <w:t>总和</w:t>
            </w:r>
            <w:r>
              <w:rPr>
                <w:rFonts w:hint="eastAsia" w:ascii="方正仿宋_GB2312" w:hAnsi="方正仿宋_GB2312" w:eastAsia="方正仿宋_GB2312" w:cs="方正仿宋_GB2312"/>
                <w:sz w:val="28"/>
                <w:szCs w:val="28"/>
              </w:rPr>
              <w:t>-基准价）/基准价*100%。</w:t>
            </w:r>
          </w:p>
          <w:p w14:paraId="67EB543A">
            <w:pPr>
              <w:widowControl/>
              <w:spacing w:line="480" w:lineRule="exact"/>
              <w:jc w:val="left"/>
              <w:textAlignment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（1）当3≤有效参选单位数量≤5时，基准价=所有参选单位</w:t>
            </w:r>
            <w:r>
              <w:rPr>
                <w:rFonts w:hint="eastAsia" w:ascii="方正仿宋_GB2312" w:hAnsi="方正仿宋_GB2312" w:eastAsia="方正仿宋_GB2312" w:cs="方正仿宋_GB2312"/>
                <w:sz w:val="28"/>
                <w:szCs w:val="28"/>
                <w:lang w:eastAsia="zh-CN"/>
              </w:rPr>
              <w:t>单价报价总和</w:t>
            </w:r>
            <w:r>
              <w:rPr>
                <w:rFonts w:hint="eastAsia" w:ascii="方正仿宋_GB2312" w:hAnsi="方正仿宋_GB2312" w:eastAsia="方正仿宋_GB2312" w:cs="方正仿宋_GB2312"/>
                <w:sz w:val="28"/>
                <w:szCs w:val="28"/>
              </w:rPr>
              <w:t>的平均值；</w:t>
            </w:r>
          </w:p>
          <w:p w14:paraId="65F7796A">
            <w:pPr>
              <w:pStyle w:val="2"/>
              <w:jc w:val="left"/>
              <w:outlineLvl w:val="1"/>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val="0"/>
                <w:kern w:val="2"/>
                <w:sz w:val="28"/>
                <w:szCs w:val="28"/>
              </w:rPr>
              <w:t>（2）当有效参选单位数量＞5时，基准价=去掉一个最高</w:t>
            </w:r>
            <w:r>
              <w:rPr>
                <w:rFonts w:hint="eastAsia" w:ascii="方正仿宋_GB2312" w:hAnsi="方正仿宋_GB2312" w:eastAsia="方正仿宋_GB2312" w:cs="方正仿宋_GB2312"/>
                <w:b w:val="0"/>
                <w:kern w:val="2"/>
                <w:sz w:val="28"/>
                <w:szCs w:val="28"/>
                <w:lang w:eastAsia="zh-CN"/>
              </w:rPr>
              <w:t>单价报</w:t>
            </w:r>
            <w:r>
              <w:rPr>
                <w:rFonts w:hint="eastAsia" w:ascii="方正仿宋_GB2312" w:hAnsi="方正仿宋_GB2312" w:eastAsia="方正仿宋_GB2312" w:cs="方正仿宋_GB2312"/>
                <w:b w:val="0"/>
                <w:kern w:val="2"/>
                <w:sz w:val="28"/>
                <w:szCs w:val="28"/>
              </w:rPr>
              <w:t>价</w:t>
            </w:r>
            <w:r>
              <w:rPr>
                <w:rFonts w:hint="eastAsia" w:ascii="方正仿宋_GB2312" w:hAnsi="方正仿宋_GB2312" w:eastAsia="方正仿宋_GB2312" w:cs="方正仿宋_GB2312"/>
                <w:b w:val="0"/>
                <w:kern w:val="2"/>
                <w:sz w:val="28"/>
                <w:szCs w:val="28"/>
                <w:lang w:eastAsia="zh-CN"/>
              </w:rPr>
              <w:t>总和</w:t>
            </w:r>
            <w:r>
              <w:rPr>
                <w:rFonts w:hint="eastAsia" w:ascii="方正仿宋_GB2312" w:hAnsi="方正仿宋_GB2312" w:eastAsia="方正仿宋_GB2312" w:cs="方正仿宋_GB2312"/>
                <w:b w:val="0"/>
                <w:kern w:val="2"/>
                <w:sz w:val="28"/>
                <w:szCs w:val="28"/>
              </w:rPr>
              <w:t>，去掉一个最低</w:t>
            </w:r>
            <w:r>
              <w:rPr>
                <w:rFonts w:hint="eastAsia" w:ascii="方正仿宋_GB2312" w:hAnsi="方正仿宋_GB2312" w:eastAsia="方正仿宋_GB2312" w:cs="方正仿宋_GB2312"/>
                <w:b w:val="0"/>
                <w:kern w:val="2"/>
                <w:sz w:val="28"/>
                <w:szCs w:val="28"/>
                <w:lang w:eastAsia="zh-CN"/>
              </w:rPr>
              <w:t>单价报</w:t>
            </w:r>
            <w:r>
              <w:rPr>
                <w:rFonts w:hint="eastAsia" w:ascii="方正仿宋_GB2312" w:hAnsi="方正仿宋_GB2312" w:eastAsia="方正仿宋_GB2312" w:cs="方正仿宋_GB2312"/>
                <w:b w:val="0"/>
                <w:kern w:val="2"/>
                <w:sz w:val="28"/>
                <w:szCs w:val="28"/>
              </w:rPr>
              <w:t>价</w:t>
            </w:r>
            <w:r>
              <w:rPr>
                <w:rFonts w:hint="eastAsia" w:ascii="方正仿宋_GB2312" w:hAnsi="方正仿宋_GB2312" w:eastAsia="方正仿宋_GB2312" w:cs="方正仿宋_GB2312"/>
                <w:b w:val="0"/>
                <w:kern w:val="2"/>
                <w:sz w:val="28"/>
                <w:szCs w:val="28"/>
                <w:lang w:eastAsia="zh-CN"/>
              </w:rPr>
              <w:t>总和</w:t>
            </w:r>
            <w:r>
              <w:rPr>
                <w:rFonts w:hint="eastAsia" w:ascii="方正仿宋_GB2312" w:hAnsi="方正仿宋_GB2312" w:eastAsia="方正仿宋_GB2312" w:cs="方正仿宋_GB2312"/>
                <w:b w:val="0"/>
                <w:kern w:val="2"/>
                <w:sz w:val="28"/>
                <w:szCs w:val="28"/>
              </w:rPr>
              <w:t>后的所有参选单位</w:t>
            </w:r>
            <w:r>
              <w:rPr>
                <w:rFonts w:hint="eastAsia" w:ascii="方正仿宋_GB2312" w:hAnsi="方正仿宋_GB2312" w:eastAsia="方正仿宋_GB2312" w:cs="方正仿宋_GB2312"/>
                <w:b w:val="0"/>
                <w:kern w:val="2"/>
                <w:sz w:val="28"/>
                <w:szCs w:val="28"/>
                <w:lang w:eastAsia="zh-CN"/>
              </w:rPr>
              <w:t>单价报价总和</w:t>
            </w:r>
            <w:r>
              <w:rPr>
                <w:rFonts w:hint="eastAsia" w:ascii="方正仿宋_GB2312" w:hAnsi="方正仿宋_GB2312" w:eastAsia="方正仿宋_GB2312" w:cs="方正仿宋_GB2312"/>
                <w:b w:val="0"/>
                <w:kern w:val="2"/>
                <w:sz w:val="28"/>
                <w:szCs w:val="28"/>
              </w:rPr>
              <w:t>的平均值。</w:t>
            </w:r>
          </w:p>
        </w:tc>
      </w:tr>
      <w:tr w14:paraId="466F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trPr>
        <w:tc>
          <w:tcPr>
            <w:tcW w:w="462" w:type="dxa"/>
            <w:vAlign w:val="center"/>
          </w:tcPr>
          <w:p w14:paraId="51D1142B">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w:t>
            </w:r>
          </w:p>
        </w:tc>
        <w:tc>
          <w:tcPr>
            <w:tcW w:w="1064" w:type="dxa"/>
            <w:vAlign w:val="center"/>
          </w:tcPr>
          <w:p w14:paraId="15BB2993">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服务</w:t>
            </w:r>
          </w:p>
          <w:p w14:paraId="33185D84">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方案</w:t>
            </w:r>
          </w:p>
        </w:tc>
        <w:tc>
          <w:tcPr>
            <w:tcW w:w="850" w:type="dxa"/>
            <w:vAlign w:val="center"/>
          </w:tcPr>
          <w:p w14:paraId="701A7781">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满分30分</w:t>
            </w:r>
          </w:p>
        </w:tc>
        <w:tc>
          <w:tcPr>
            <w:tcW w:w="7042" w:type="dxa"/>
            <w:vAlign w:val="center"/>
          </w:tcPr>
          <w:p w14:paraId="00BE5B3D">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w:t>
            </w:r>
            <w:r>
              <w:rPr>
                <w:rFonts w:hint="eastAsia" w:ascii="方正仿宋_GB2312" w:hAnsi="方正仿宋_GB2312" w:eastAsia="方正仿宋_GB2312" w:cs="方正仿宋_GB2312"/>
                <w:color w:val="000000"/>
                <w:sz w:val="28"/>
                <w:szCs w:val="28"/>
                <w:lang w:eastAsia="zh-CN"/>
              </w:rPr>
              <w:t>水生</w:t>
            </w:r>
            <w:r>
              <w:rPr>
                <w:rFonts w:hint="eastAsia" w:ascii="方正仿宋_GB2312" w:hAnsi="方正仿宋_GB2312" w:eastAsia="方正仿宋_GB2312" w:cs="方正仿宋_GB2312"/>
                <w:color w:val="000000"/>
                <w:sz w:val="28"/>
                <w:szCs w:val="28"/>
              </w:rPr>
              <w:t>检测服务工作方案详细，针对性强，内容具体，能充分体现比选单位项目特点，服务工作周期详细、合理、可行的，得2</w:t>
            </w:r>
            <w:r>
              <w:rPr>
                <w:rFonts w:hint="eastAsia" w:ascii="方正仿宋_GB2312" w:hAnsi="方正仿宋_GB2312" w:eastAsia="方正仿宋_GB2312" w:cs="方正仿宋_GB2312"/>
                <w:color w:val="000000"/>
                <w:sz w:val="28"/>
                <w:szCs w:val="28"/>
                <w:lang w:val="en-US" w:eastAsia="zh-CN"/>
              </w:rPr>
              <w:t>4</w:t>
            </w:r>
            <w:r>
              <w:rPr>
                <w:rFonts w:hint="eastAsia" w:ascii="方正仿宋_GB2312" w:hAnsi="方正仿宋_GB2312" w:eastAsia="方正仿宋_GB2312" w:cs="方正仿宋_GB2312"/>
                <w:color w:val="000000"/>
                <w:sz w:val="28"/>
                <w:szCs w:val="28"/>
              </w:rPr>
              <w:t>~30分；</w:t>
            </w:r>
          </w:p>
          <w:p w14:paraId="1BE0CE57">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（2）能提供有针对性的服务工作方案，内容基本完整，有合理的服务工作周期的，得</w:t>
            </w:r>
            <w:r>
              <w:rPr>
                <w:rFonts w:hint="eastAsia" w:ascii="方正仿宋_GB2312" w:hAnsi="方正仿宋_GB2312" w:eastAsia="方正仿宋_GB2312" w:cs="方正仿宋_GB2312"/>
                <w:color w:val="000000"/>
                <w:sz w:val="28"/>
                <w:szCs w:val="28"/>
                <w:lang w:val="en-US" w:eastAsia="zh-CN"/>
              </w:rPr>
              <w:t>12</w:t>
            </w:r>
            <w:r>
              <w:rPr>
                <w:rFonts w:hint="eastAsia" w:ascii="方正仿宋_GB2312" w:hAnsi="方正仿宋_GB2312" w:eastAsia="方正仿宋_GB2312" w:cs="方正仿宋_GB2312"/>
                <w:color w:val="000000"/>
                <w:sz w:val="28"/>
                <w:szCs w:val="28"/>
              </w:rPr>
              <w:t>~</w:t>
            </w:r>
            <w:r>
              <w:rPr>
                <w:rFonts w:hint="eastAsia" w:ascii="方正仿宋_GB2312" w:hAnsi="方正仿宋_GB2312" w:eastAsia="方正仿宋_GB2312" w:cs="方正仿宋_GB2312"/>
                <w:color w:val="000000"/>
                <w:sz w:val="28"/>
                <w:szCs w:val="28"/>
                <w:lang w:val="en-US" w:eastAsia="zh-CN"/>
              </w:rPr>
              <w:t>23</w:t>
            </w:r>
            <w:r>
              <w:rPr>
                <w:rFonts w:hint="eastAsia" w:ascii="方正仿宋_GB2312" w:hAnsi="方正仿宋_GB2312" w:eastAsia="方正仿宋_GB2312" w:cs="方正仿宋_GB2312"/>
                <w:color w:val="000000"/>
                <w:sz w:val="28"/>
                <w:szCs w:val="28"/>
              </w:rPr>
              <w:t>分；</w:t>
            </w:r>
          </w:p>
          <w:p w14:paraId="08E03E1C">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（3）服务工作方案内容不完整，缺乏针对性的，得0~</w:t>
            </w:r>
            <w:r>
              <w:rPr>
                <w:rFonts w:hint="eastAsia" w:ascii="方正仿宋_GB2312" w:hAnsi="方正仿宋_GB2312" w:eastAsia="方正仿宋_GB2312" w:cs="方正仿宋_GB2312"/>
                <w:color w:val="000000"/>
                <w:sz w:val="28"/>
                <w:szCs w:val="28"/>
                <w:lang w:val="en-US" w:eastAsia="zh-CN"/>
              </w:rPr>
              <w:t>11</w:t>
            </w:r>
            <w:r>
              <w:rPr>
                <w:rFonts w:hint="eastAsia" w:ascii="方正仿宋_GB2312" w:hAnsi="方正仿宋_GB2312" w:eastAsia="方正仿宋_GB2312" w:cs="方正仿宋_GB2312"/>
                <w:color w:val="000000"/>
                <w:sz w:val="28"/>
                <w:szCs w:val="28"/>
              </w:rPr>
              <w:t>分。</w:t>
            </w:r>
          </w:p>
        </w:tc>
      </w:tr>
      <w:tr w14:paraId="7F1F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trPr>
        <w:tc>
          <w:tcPr>
            <w:tcW w:w="462" w:type="dxa"/>
            <w:vAlign w:val="center"/>
          </w:tcPr>
          <w:p w14:paraId="27030D8B">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w:t>
            </w:r>
          </w:p>
        </w:tc>
        <w:tc>
          <w:tcPr>
            <w:tcW w:w="1064" w:type="dxa"/>
            <w:vAlign w:val="center"/>
          </w:tcPr>
          <w:p w14:paraId="11224685">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质量承诺及保证措施</w:t>
            </w:r>
          </w:p>
        </w:tc>
        <w:tc>
          <w:tcPr>
            <w:tcW w:w="850" w:type="dxa"/>
            <w:vAlign w:val="center"/>
          </w:tcPr>
          <w:p w14:paraId="7B186E35">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满分</w:t>
            </w:r>
            <w:r>
              <w:rPr>
                <w:rFonts w:hint="eastAsia" w:ascii="方正仿宋_GB2312" w:hAnsi="方正仿宋_GB2312" w:eastAsia="方正仿宋_GB2312" w:cs="方正仿宋_GB2312"/>
                <w:sz w:val="28"/>
                <w:szCs w:val="28"/>
                <w:lang w:val="en-US" w:eastAsia="zh-CN"/>
              </w:rPr>
              <w:t>20</w:t>
            </w:r>
            <w:r>
              <w:rPr>
                <w:rFonts w:hint="eastAsia" w:ascii="方正仿宋_GB2312" w:hAnsi="方正仿宋_GB2312" w:eastAsia="方正仿宋_GB2312" w:cs="方正仿宋_GB2312"/>
                <w:sz w:val="28"/>
                <w:szCs w:val="28"/>
              </w:rPr>
              <w:t>分</w:t>
            </w:r>
          </w:p>
        </w:tc>
        <w:tc>
          <w:tcPr>
            <w:tcW w:w="7042" w:type="dxa"/>
            <w:vAlign w:val="center"/>
          </w:tcPr>
          <w:p w14:paraId="1679C57E">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（1）服务的质量承诺及保证措施内容具体，详细，切实可行，并附有具体违约承诺的，得</w:t>
            </w:r>
            <w:r>
              <w:rPr>
                <w:rFonts w:hint="eastAsia" w:ascii="方正仿宋_GB2312" w:hAnsi="方正仿宋_GB2312" w:eastAsia="方正仿宋_GB2312" w:cs="方正仿宋_GB2312"/>
                <w:color w:val="000000"/>
                <w:sz w:val="28"/>
                <w:szCs w:val="28"/>
                <w:lang w:val="en-US" w:eastAsia="zh-CN"/>
              </w:rPr>
              <w:t>14</w:t>
            </w:r>
            <w:r>
              <w:rPr>
                <w:rFonts w:hint="eastAsia" w:ascii="方正仿宋_GB2312" w:hAnsi="方正仿宋_GB2312" w:eastAsia="方正仿宋_GB2312" w:cs="方正仿宋_GB2312"/>
                <w:color w:val="000000"/>
                <w:sz w:val="28"/>
                <w:szCs w:val="28"/>
              </w:rPr>
              <w:t>~</w:t>
            </w:r>
            <w:r>
              <w:rPr>
                <w:rFonts w:hint="eastAsia" w:ascii="方正仿宋_GB2312" w:hAnsi="方正仿宋_GB2312" w:eastAsia="方正仿宋_GB2312" w:cs="方正仿宋_GB2312"/>
                <w:color w:val="000000"/>
                <w:sz w:val="28"/>
                <w:szCs w:val="28"/>
                <w:lang w:val="en-US" w:eastAsia="zh-CN"/>
              </w:rPr>
              <w:t>2</w:t>
            </w:r>
            <w:r>
              <w:rPr>
                <w:rFonts w:hint="eastAsia" w:ascii="方正仿宋_GB2312" w:hAnsi="方正仿宋_GB2312" w:eastAsia="方正仿宋_GB2312" w:cs="方正仿宋_GB2312"/>
                <w:color w:val="000000"/>
                <w:sz w:val="28"/>
                <w:szCs w:val="28"/>
              </w:rPr>
              <w:t>0分；</w:t>
            </w:r>
          </w:p>
          <w:p w14:paraId="24C4167C">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（2）服务的质量承诺及保证措施内容不够具体，且无具体违约承诺的，得</w:t>
            </w:r>
            <w:r>
              <w:rPr>
                <w:rFonts w:hint="eastAsia" w:ascii="方正仿宋_GB2312" w:hAnsi="方正仿宋_GB2312" w:eastAsia="方正仿宋_GB2312" w:cs="方正仿宋_GB2312"/>
                <w:color w:val="000000"/>
                <w:sz w:val="28"/>
                <w:szCs w:val="28"/>
                <w:lang w:val="en-US" w:eastAsia="zh-CN"/>
              </w:rPr>
              <w:t>2</w:t>
            </w:r>
            <w:r>
              <w:rPr>
                <w:rFonts w:hint="eastAsia" w:ascii="方正仿宋_GB2312" w:hAnsi="方正仿宋_GB2312" w:eastAsia="方正仿宋_GB2312" w:cs="方正仿宋_GB2312"/>
                <w:color w:val="000000"/>
                <w:sz w:val="28"/>
                <w:szCs w:val="28"/>
              </w:rPr>
              <w:t>~</w:t>
            </w:r>
            <w:r>
              <w:rPr>
                <w:rFonts w:hint="eastAsia" w:ascii="方正仿宋_GB2312" w:hAnsi="方正仿宋_GB2312" w:eastAsia="方正仿宋_GB2312" w:cs="方正仿宋_GB2312"/>
                <w:color w:val="000000"/>
                <w:sz w:val="28"/>
                <w:szCs w:val="28"/>
                <w:lang w:val="en-US" w:eastAsia="zh-CN"/>
              </w:rPr>
              <w:t>13</w:t>
            </w:r>
            <w:r>
              <w:rPr>
                <w:rFonts w:hint="eastAsia" w:ascii="方正仿宋_GB2312" w:hAnsi="方正仿宋_GB2312" w:eastAsia="方正仿宋_GB2312" w:cs="方正仿宋_GB2312"/>
                <w:color w:val="000000"/>
                <w:sz w:val="28"/>
                <w:szCs w:val="28"/>
              </w:rPr>
              <w:t>分；</w:t>
            </w:r>
          </w:p>
          <w:p w14:paraId="110F25B1">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（3）服务的质量承诺及保证措施粗略、无违约承诺的，得0~</w:t>
            </w:r>
            <w:r>
              <w:rPr>
                <w:rFonts w:hint="eastAsia" w:ascii="方正仿宋_GB2312" w:hAnsi="方正仿宋_GB2312" w:eastAsia="方正仿宋_GB2312" w:cs="方正仿宋_GB2312"/>
                <w:color w:val="000000"/>
                <w:sz w:val="28"/>
                <w:szCs w:val="28"/>
                <w:lang w:val="en-US" w:eastAsia="zh-CN"/>
              </w:rPr>
              <w:t>1</w:t>
            </w:r>
            <w:r>
              <w:rPr>
                <w:rFonts w:hint="eastAsia" w:ascii="方正仿宋_GB2312" w:hAnsi="方正仿宋_GB2312" w:eastAsia="方正仿宋_GB2312" w:cs="方正仿宋_GB2312"/>
                <w:color w:val="000000"/>
                <w:sz w:val="28"/>
                <w:szCs w:val="28"/>
              </w:rPr>
              <w:t>分。</w:t>
            </w:r>
          </w:p>
        </w:tc>
      </w:tr>
      <w:tr w14:paraId="75E4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4" w:hRule="atLeast"/>
        </w:trPr>
        <w:tc>
          <w:tcPr>
            <w:tcW w:w="462" w:type="dxa"/>
            <w:vAlign w:val="center"/>
          </w:tcPr>
          <w:p w14:paraId="4E9E2821">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4</w:t>
            </w:r>
          </w:p>
        </w:tc>
        <w:tc>
          <w:tcPr>
            <w:tcW w:w="1064" w:type="dxa"/>
            <w:vAlign w:val="center"/>
          </w:tcPr>
          <w:p w14:paraId="1F6D666A">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人员</w:t>
            </w:r>
          </w:p>
          <w:p w14:paraId="20F798D7">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配置</w:t>
            </w:r>
          </w:p>
        </w:tc>
        <w:tc>
          <w:tcPr>
            <w:tcW w:w="850" w:type="dxa"/>
            <w:vAlign w:val="center"/>
          </w:tcPr>
          <w:p w14:paraId="4B3F4AA9">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满分</w:t>
            </w:r>
            <w:r>
              <w:rPr>
                <w:rFonts w:hint="eastAsia" w:ascii="方正仿宋_GB2312" w:hAnsi="方正仿宋_GB2312" w:eastAsia="方正仿宋_GB2312" w:cs="方正仿宋_GB2312"/>
                <w:sz w:val="28"/>
                <w:szCs w:val="28"/>
                <w:lang w:val="en-US" w:eastAsia="zh-CN"/>
              </w:rPr>
              <w:t>15</w:t>
            </w:r>
            <w:r>
              <w:rPr>
                <w:rFonts w:hint="eastAsia" w:ascii="方正仿宋_GB2312" w:hAnsi="方正仿宋_GB2312" w:eastAsia="方正仿宋_GB2312" w:cs="方正仿宋_GB2312"/>
                <w:sz w:val="28"/>
                <w:szCs w:val="28"/>
              </w:rPr>
              <w:t>分</w:t>
            </w:r>
          </w:p>
        </w:tc>
        <w:tc>
          <w:tcPr>
            <w:tcW w:w="7042" w:type="dxa"/>
            <w:vAlign w:val="center"/>
          </w:tcPr>
          <w:p w14:paraId="25AE22FF">
            <w:pPr>
              <w:widowControl/>
              <w:ind w:firstLine="552" w:firstLineChars="200"/>
              <w:jc w:val="lef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拟派项目组人员应熟悉水</w:t>
            </w:r>
            <w:r>
              <w:rPr>
                <w:rFonts w:hint="eastAsia" w:ascii="方正仿宋_GB2312" w:hAnsi="方正仿宋_GB2312" w:eastAsia="方正仿宋_GB2312" w:cs="方正仿宋_GB2312"/>
                <w:color w:val="000000"/>
                <w:sz w:val="28"/>
                <w:szCs w:val="28"/>
                <w:lang w:eastAsia="zh-CN"/>
              </w:rPr>
              <w:t>生</w:t>
            </w:r>
            <w:r>
              <w:rPr>
                <w:rFonts w:hint="eastAsia" w:ascii="方正仿宋_GB2312" w:hAnsi="方正仿宋_GB2312" w:eastAsia="方正仿宋_GB2312" w:cs="方正仿宋_GB2312"/>
                <w:color w:val="000000"/>
                <w:sz w:val="28"/>
                <w:szCs w:val="28"/>
              </w:rPr>
              <w:t>检测的相应法律法规</w:t>
            </w:r>
            <w:r>
              <w:rPr>
                <w:rFonts w:hint="eastAsia" w:ascii="方正仿宋_GB2312" w:hAnsi="方正仿宋_GB2312" w:eastAsia="方正仿宋_GB2312" w:cs="方正仿宋_GB2312"/>
                <w:color w:val="000000"/>
                <w:sz w:val="28"/>
                <w:szCs w:val="28"/>
                <w:lang w:eastAsia="zh-CN"/>
              </w:rPr>
              <w:t>、标准规范</w:t>
            </w:r>
            <w:r>
              <w:rPr>
                <w:rFonts w:hint="eastAsia" w:ascii="方正仿宋_GB2312" w:hAnsi="方正仿宋_GB2312" w:eastAsia="方正仿宋_GB2312" w:cs="方正仿宋_GB2312"/>
                <w:color w:val="000000"/>
                <w:sz w:val="28"/>
                <w:szCs w:val="28"/>
              </w:rPr>
              <w:t>，具备开展项目水</w:t>
            </w:r>
            <w:r>
              <w:rPr>
                <w:rFonts w:hint="eastAsia" w:ascii="方正仿宋_GB2312" w:hAnsi="方正仿宋_GB2312" w:eastAsia="方正仿宋_GB2312" w:cs="方正仿宋_GB2312"/>
                <w:color w:val="000000"/>
                <w:sz w:val="28"/>
                <w:szCs w:val="28"/>
                <w:lang w:eastAsia="zh-CN"/>
              </w:rPr>
              <w:t>生</w:t>
            </w:r>
            <w:r>
              <w:rPr>
                <w:rFonts w:hint="eastAsia" w:ascii="方正仿宋_GB2312" w:hAnsi="方正仿宋_GB2312" w:eastAsia="方正仿宋_GB2312" w:cs="方正仿宋_GB2312"/>
                <w:color w:val="000000"/>
                <w:sz w:val="28"/>
                <w:szCs w:val="28"/>
              </w:rPr>
              <w:t>检测服务的相应能力，提供相关证书作为评审依据。</w:t>
            </w:r>
          </w:p>
          <w:p w14:paraId="4E926034">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（1）项目组成员（满分</w:t>
            </w:r>
            <w:r>
              <w:rPr>
                <w:rFonts w:hint="eastAsia" w:ascii="方正仿宋_GB2312" w:hAnsi="方正仿宋_GB2312" w:eastAsia="方正仿宋_GB2312" w:cs="方正仿宋_GB2312"/>
                <w:color w:val="000000"/>
                <w:sz w:val="28"/>
                <w:szCs w:val="28"/>
                <w:lang w:val="en-US" w:eastAsia="zh-CN"/>
              </w:rPr>
              <w:t>12</w:t>
            </w:r>
            <w:r>
              <w:rPr>
                <w:rFonts w:hint="eastAsia" w:ascii="方正仿宋_GB2312" w:hAnsi="方正仿宋_GB2312" w:eastAsia="方正仿宋_GB2312" w:cs="方正仿宋_GB2312"/>
                <w:color w:val="000000"/>
                <w:sz w:val="28"/>
                <w:szCs w:val="28"/>
              </w:rPr>
              <w:t>分）</w:t>
            </w:r>
          </w:p>
          <w:p w14:paraId="130FCDE0">
            <w:pPr>
              <w:widowControl/>
              <w:spacing w:line="480" w:lineRule="exact"/>
              <w:ind w:firstLine="552" w:firstLineChars="200"/>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组织机构设置完整、结构合理，职能配置明确、分工及管理人员配备合理,工作机制能有效运行，岗位职责齐全、清晰得</w:t>
            </w:r>
            <w:r>
              <w:rPr>
                <w:rFonts w:hint="eastAsia" w:ascii="方正仿宋_GB2312" w:hAnsi="方正仿宋_GB2312" w:eastAsia="方正仿宋_GB2312" w:cs="方正仿宋_GB2312"/>
                <w:color w:val="000000"/>
                <w:sz w:val="28"/>
                <w:szCs w:val="28"/>
                <w:lang w:val="en-US" w:eastAsia="zh-CN"/>
              </w:rPr>
              <w:t>12</w:t>
            </w:r>
            <w:r>
              <w:rPr>
                <w:rFonts w:hint="eastAsia" w:ascii="方正仿宋_GB2312" w:hAnsi="方正仿宋_GB2312" w:eastAsia="方正仿宋_GB2312" w:cs="方正仿宋_GB2312"/>
                <w:color w:val="000000"/>
                <w:sz w:val="28"/>
                <w:szCs w:val="28"/>
              </w:rPr>
              <w:t>分；组织机构设置基本完整，职能配置、分工及管理人员配备基本合理得</w:t>
            </w:r>
            <w:r>
              <w:rPr>
                <w:rFonts w:hint="eastAsia" w:ascii="方正仿宋_GB2312" w:hAnsi="方正仿宋_GB2312" w:eastAsia="方正仿宋_GB2312" w:cs="方正仿宋_GB2312"/>
                <w:color w:val="000000"/>
                <w:sz w:val="28"/>
                <w:szCs w:val="28"/>
                <w:lang w:val="en-US" w:eastAsia="zh-CN"/>
              </w:rPr>
              <w:t>8</w:t>
            </w:r>
            <w:r>
              <w:rPr>
                <w:rFonts w:hint="eastAsia" w:ascii="方正仿宋_GB2312" w:hAnsi="方正仿宋_GB2312" w:eastAsia="方正仿宋_GB2312" w:cs="方正仿宋_GB2312"/>
                <w:color w:val="000000"/>
                <w:sz w:val="28"/>
                <w:szCs w:val="28"/>
              </w:rPr>
              <w:t>分；组织机构设置不完整，职能配置、分工及管理人员配备不合理得</w:t>
            </w:r>
            <w:r>
              <w:rPr>
                <w:rFonts w:hint="eastAsia" w:ascii="方正仿宋_GB2312" w:hAnsi="方正仿宋_GB2312" w:eastAsia="方正仿宋_GB2312" w:cs="方正仿宋_GB2312"/>
                <w:color w:val="000000"/>
                <w:sz w:val="28"/>
                <w:szCs w:val="28"/>
                <w:lang w:val="en-US" w:eastAsia="zh-CN"/>
              </w:rPr>
              <w:t>4</w:t>
            </w:r>
            <w:r>
              <w:rPr>
                <w:rFonts w:hint="eastAsia" w:ascii="方正仿宋_GB2312" w:hAnsi="方正仿宋_GB2312" w:eastAsia="方正仿宋_GB2312" w:cs="方正仿宋_GB2312"/>
                <w:color w:val="000000"/>
                <w:sz w:val="28"/>
                <w:szCs w:val="28"/>
              </w:rPr>
              <w:t>分；未做任何说明不得分。</w:t>
            </w:r>
          </w:p>
          <w:p w14:paraId="1D9DC79D">
            <w:pPr>
              <w:widowControl/>
              <w:spacing w:line="480" w:lineRule="exact"/>
              <w:ind w:firstLine="552" w:firstLineChars="200"/>
              <w:jc w:val="left"/>
              <w:textAlignment w:val="center"/>
              <w:rPr>
                <w:rFonts w:hint="eastAsia" w:ascii="方正仿宋_GB2312" w:hAnsi="方正仿宋_GB2312" w:eastAsia="方正仿宋_GB2312" w:cs="方正仿宋_GB2312"/>
                <w:b/>
                <w:bCs/>
                <w:color w:val="000000"/>
                <w:sz w:val="28"/>
                <w:szCs w:val="28"/>
              </w:rPr>
            </w:pPr>
            <w:r>
              <w:rPr>
                <w:rFonts w:hint="eastAsia" w:ascii="方正仿宋_GB2312" w:hAnsi="方正仿宋_GB2312" w:eastAsia="方正仿宋_GB2312" w:cs="方正仿宋_GB2312"/>
                <w:b/>
                <w:bCs/>
                <w:color w:val="000000"/>
                <w:sz w:val="28"/>
                <w:szCs w:val="28"/>
              </w:rPr>
              <w:t>注：附相关人员的身份证、相关资格证书（如有）材料原件扫描件。</w:t>
            </w:r>
          </w:p>
          <w:p w14:paraId="49D4EA9F">
            <w:pPr>
              <w:widowControl/>
              <w:spacing w:line="480" w:lineRule="exact"/>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（2）拟派项目负责人（1人）（满分</w:t>
            </w:r>
            <w:r>
              <w:rPr>
                <w:rFonts w:hint="eastAsia" w:ascii="方正仿宋_GB2312" w:hAnsi="方正仿宋_GB2312" w:eastAsia="方正仿宋_GB2312" w:cs="方正仿宋_GB2312"/>
                <w:color w:val="000000"/>
                <w:sz w:val="28"/>
                <w:szCs w:val="28"/>
                <w:lang w:val="en-US" w:eastAsia="zh-CN"/>
              </w:rPr>
              <w:t>3</w:t>
            </w:r>
            <w:r>
              <w:rPr>
                <w:rFonts w:hint="eastAsia" w:ascii="方正仿宋_GB2312" w:hAnsi="方正仿宋_GB2312" w:eastAsia="方正仿宋_GB2312" w:cs="方正仿宋_GB2312"/>
                <w:color w:val="000000"/>
                <w:sz w:val="28"/>
                <w:szCs w:val="28"/>
              </w:rPr>
              <w:t>分）</w:t>
            </w:r>
          </w:p>
          <w:p w14:paraId="1B9F2C38">
            <w:pPr>
              <w:widowControl/>
              <w:spacing w:line="480" w:lineRule="exact"/>
              <w:ind w:firstLine="552" w:firstLineChars="200"/>
              <w:jc w:val="left"/>
              <w:textAlignment w:val="center"/>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具有生态环境监测与分析或环境工程相关专业，副高级及以上职称得</w:t>
            </w:r>
            <w:r>
              <w:rPr>
                <w:rFonts w:hint="eastAsia" w:ascii="方正仿宋_GB2312" w:hAnsi="方正仿宋_GB2312" w:eastAsia="方正仿宋_GB2312" w:cs="方正仿宋_GB2312"/>
                <w:color w:val="000000"/>
                <w:sz w:val="28"/>
                <w:szCs w:val="28"/>
                <w:lang w:val="en-US" w:eastAsia="zh-CN"/>
              </w:rPr>
              <w:t>3</w:t>
            </w:r>
            <w:r>
              <w:rPr>
                <w:rFonts w:hint="eastAsia" w:ascii="方正仿宋_GB2312" w:hAnsi="方正仿宋_GB2312" w:eastAsia="方正仿宋_GB2312" w:cs="方正仿宋_GB2312"/>
                <w:color w:val="000000"/>
                <w:sz w:val="28"/>
                <w:szCs w:val="28"/>
              </w:rPr>
              <w:t>分，副高级以下职称不得分。</w:t>
            </w:r>
          </w:p>
          <w:p w14:paraId="06F523F5">
            <w:pPr>
              <w:widowControl/>
              <w:spacing w:line="480" w:lineRule="exact"/>
              <w:ind w:firstLine="552" w:firstLineChars="200"/>
              <w:jc w:val="left"/>
              <w:textAlignment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color w:val="000000"/>
                <w:sz w:val="28"/>
                <w:szCs w:val="28"/>
              </w:rPr>
              <w:t>注：提供劳动合同或社保证明，学位证书或学历证书，资质或职称证书原件扫描件加盖公章。</w:t>
            </w:r>
          </w:p>
        </w:tc>
      </w:tr>
      <w:tr w14:paraId="1F3D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462" w:type="dxa"/>
            <w:vAlign w:val="center"/>
          </w:tcPr>
          <w:p w14:paraId="09312E81">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5</w:t>
            </w:r>
          </w:p>
        </w:tc>
        <w:tc>
          <w:tcPr>
            <w:tcW w:w="1064" w:type="dxa"/>
            <w:vAlign w:val="center"/>
          </w:tcPr>
          <w:p w14:paraId="3D063B5F">
            <w:pPr>
              <w:pStyle w:val="7"/>
              <w:ind w:left="0" w:leftChars="0" w:firstLine="0" w:firstLineChars="0"/>
              <w:jc w:val="center"/>
              <w:rPr>
                <w:rFonts w:hint="eastAsia" w:ascii="方正仿宋_GB2312" w:hAnsi="方正仿宋_GB2312" w:eastAsia="方正仿宋_GB2312" w:cs="方正仿宋_GB2312"/>
                <w:color w:val="000000"/>
                <w:kern w:val="0"/>
                <w:sz w:val="28"/>
                <w:szCs w:val="28"/>
                <w:lang w:bidi="ar"/>
              </w:rPr>
            </w:pPr>
            <w:r>
              <w:rPr>
                <w:rFonts w:hint="eastAsia" w:ascii="方正仿宋_GB2312" w:hAnsi="方正仿宋_GB2312" w:eastAsia="方正仿宋_GB2312" w:cs="方正仿宋_GB2312"/>
                <w:color w:val="000000"/>
                <w:kern w:val="0"/>
                <w:sz w:val="28"/>
                <w:szCs w:val="28"/>
                <w:lang w:bidi="ar"/>
              </w:rPr>
              <w:t>业绩</w:t>
            </w:r>
          </w:p>
        </w:tc>
        <w:tc>
          <w:tcPr>
            <w:tcW w:w="850" w:type="dxa"/>
            <w:vAlign w:val="center"/>
          </w:tcPr>
          <w:p w14:paraId="17D9C087">
            <w:pPr>
              <w:pStyle w:val="7"/>
              <w:ind w:left="0" w:leftChars="0" w:firstLine="0" w:firstLineChars="0"/>
              <w:jc w:val="cente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满分</w:t>
            </w:r>
            <w:r>
              <w:rPr>
                <w:rFonts w:hint="eastAsia" w:ascii="方正仿宋_GB2312" w:hAnsi="方正仿宋_GB2312" w:eastAsia="方正仿宋_GB2312" w:cs="方正仿宋_GB2312"/>
                <w:sz w:val="28"/>
                <w:szCs w:val="28"/>
                <w:lang w:val="en-US" w:eastAsia="zh-CN"/>
              </w:rPr>
              <w:t>20</w:t>
            </w:r>
            <w:r>
              <w:rPr>
                <w:rFonts w:hint="eastAsia" w:ascii="方正仿宋_GB2312" w:hAnsi="方正仿宋_GB2312" w:eastAsia="方正仿宋_GB2312" w:cs="方正仿宋_GB2312"/>
                <w:sz w:val="28"/>
                <w:szCs w:val="28"/>
              </w:rPr>
              <w:t>分</w:t>
            </w:r>
          </w:p>
        </w:tc>
        <w:tc>
          <w:tcPr>
            <w:tcW w:w="7042" w:type="dxa"/>
            <w:vAlign w:val="center"/>
          </w:tcPr>
          <w:p w14:paraId="5774271D">
            <w:pPr>
              <w:pStyle w:val="3"/>
              <w:ind w:firstLine="552" w:firstLineChars="200"/>
              <w:jc w:val="both"/>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color w:val="000000"/>
                <w:sz w:val="28"/>
                <w:szCs w:val="28"/>
              </w:rPr>
              <w:t>202</w:t>
            </w:r>
            <w:r>
              <w:rPr>
                <w:rFonts w:hint="eastAsia" w:ascii="方正仿宋_GB2312" w:hAnsi="方正仿宋_GB2312" w:eastAsia="方正仿宋_GB2312" w:cs="方正仿宋_GB2312"/>
                <w:color w:val="000000"/>
                <w:sz w:val="28"/>
                <w:szCs w:val="28"/>
                <w:lang w:val="en-US" w:eastAsia="zh-CN"/>
              </w:rPr>
              <w:t>3</w:t>
            </w:r>
            <w:r>
              <w:rPr>
                <w:rFonts w:hint="eastAsia" w:ascii="方正仿宋_GB2312" w:hAnsi="方正仿宋_GB2312" w:eastAsia="方正仿宋_GB2312" w:cs="方正仿宋_GB2312"/>
                <w:color w:val="000000"/>
                <w:sz w:val="28"/>
                <w:szCs w:val="28"/>
              </w:rPr>
              <w:t>年至今，承担过相关水</w:t>
            </w:r>
            <w:r>
              <w:rPr>
                <w:rFonts w:hint="eastAsia" w:ascii="方正仿宋_GB2312" w:hAnsi="方正仿宋_GB2312" w:eastAsia="方正仿宋_GB2312" w:cs="方正仿宋_GB2312"/>
                <w:color w:val="000000"/>
                <w:sz w:val="28"/>
                <w:szCs w:val="28"/>
                <w:lang w:eastAsia="zh-CN"/>
              </w:rPr>
              <w:t>生</w:t>
            </w:r>
            <w:r>
              <w:rPr>
                <w:rFonts w:hint="eastAsia" w:ascii="方正仿宋_GB2312" w:hAnsi="方正仿宋_GB2312" w:eastAsia="方正仿宋_GB2312" w:cs="方正仿宋_GB2312"/>
                <w:color w:val="000000"/>
                <w:sz w:val="28"/>
                <w:szCs w:val="28"/>
              </w:rPr>
              <w:t>检测服务业绩的得10分，每增加类似的1项业绩得2分，最多加10分；</w:t>
            </w:r>
          </w:p>
          <w:p w14:paraId="20FBB25C">
            <w:pPr>
              <w:pStyle w:val="3"/>
              <w:jc w:val="both"/>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bCs/>
                <w:color w:val="000000"/>
                <w:sz w:val="28"/>
                <w:szCs w:val="28"/>
              </w:rPr>
              <w:t>注：此项业绩评审中1份业绩证明材料仅加1次分，不重复加分。证明材料指签订的服务合同复印件等，未提供证明材料视为无业绩。</w:t>
            </w:r>
          </w:p>
        </w:tc>
      </w:tr>
    </w:tbl>
    <w:p w14:paraId="6F97F470">
      <w:pPr>
        <w:pStyle w:val="14"/>
        <w:spacing w:line="360" w:lineRule="auto"/>
        <w:ind w:firstLineChars="200"/>
        <w:rPr>
          <w:rFonts w:ascii="方正仿宋_GB2312" w:hAnsi="方正仿宋_GB2312" w:eastAsia="方正仿宋_GB2312" w:cs="方正仿宋_GB2312"/>
          <w:sz w:val="28"/>
          <w:szCs w:val="28"/>
        </w:rPr>
      </w:pPr>
      <w:r>
        <w:rPr>
          <w:rFonts w:ascii="方正仿宋_GB2312" w:hAnsi="方正仿宋_GB2312" w:eastAsia="方正仿宋_GB2312" w:cs="方正仿宋_GB2312"/>
          <w:sz w:val="28"/>
          <w:szCs w:val="28"/>
        </w:rPr>
        <w:t>未尽事宜由评审委员会集体商议决定。</w:t>
      </w:r>
    </w:p>
    <w:p w14:paraId="115E4BE5">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第七条 成交候选人推荐规则</w:t>
      </w:r>
    </w:p>
    <w:p w14:paraId="455E1C18">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1.评审委员会按最终评审得分由高到低的顺序推荐成交候选人。</w:t>
      </w:r>
    </w:p>
    <w:p w14:paraId="2270D5B6">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2.若两家及以上供应商最终评审得分相同，则按“价格部分”得分由高到低顺序排列；若价格得分仍相同，则按“技术及服务部分”得分由高到低顺序排列。</w:t>
      </w:r>
    </w:p>
    <w:p w14:paraId="628DE482">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第八条 其他规定</w:t>
      </w:r>
    </w:p>
    <w:p w14:paraId="19B10E7F">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1.评审过程中如遇本评审标准未明确规定的特殊情形，应由评审委员会根据政府采购法律法规及本评审标准所确立的原则集体讨论决定。该决定不得违反法律法规的强制性规定，不得对本评审标准已明确的内容进行实质性修改，且不得对任何供应商构成《中华人民共和国政府采购法实施条例》第二十条所禁止的差别待遇或者歧视待遇。</w:t>
      </w:r>
    </w:p>
    <w:p w14:paraId="4BF38A65">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2.本评审标准由采购人云南省渔业科学研究院负责解释。</w:t>
      </w:r>
    </w:p>
    <w:p w14:paraId="59E96DE1">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3.本评审标准作为本项目采购文件的组成部分，与采购文件具有同等法律效力。</w:t>
      </w:r>
    </w:p>
    <w:p w14:paraId="458C466C">
      <w:pPr>
        <w:pStyle w:val="14"/>
        <w:spacing w:line="360" w:lineRule="auto"/>
        <w:ind w:firstLineChars="200"/>
        <w:rPr>
          <w:rFonts w:ascii="方正仿宋_GB2312" w:hAnsi="方正仿宋_GB2312" w:eastAsia="方正仿宋_GB2312" w:cs="方正仿宋_GB2312"/>
        </w:rPr>
      </w:pPr>
      <w:r>
        <w:rPr>
          <w:rFonts w:ascii="方正仿宋_GB2312" w:hAnsi="方正仿宋_GB2312" w:eastAsia="方正仿宋_GB2312" w:cs="方正仿宋_GB2312"/>
          <w:color w:val="000000"/>
          <w:sz w:val="28"/>
        </w:rPr>
        <w:t>4.供应商认为采购文件、采购过程和中标、成交结果使自己的权益受到损害的，可以根据《中华人民共和国政府采购法》第五十二条之规定，在知道或者应知其权益受到损害之日起七个工作日内，以书面形式向采购人提出质疑。</w:t>
      </w:r>
    </w:p>
    <w:p w14:paraId="53FEB503">
      <w:pPr>
        <w:pStyle w:val="14"/>
        <w:spacing w:line="360" w:lineRule="auto"/>
        <w:ind w:firstLine="3864" w:firstLineChars="1400"/>
        <w:rPr>
          <w:rFonts w:ascii="方正仿宋_GB2312" w:hAnsi="方正仿宋_GB2312" w:eastAsia="方正仿宋_GB2312" w:cs="方正仿宋_GB2312"/>
        </w:rPr>
      </w:pPr>
      <w:r>
        <w:rPr>
          <w:rFonts w:ascii="方正仿宋_GB2312" w:hAnsi="方正仿宋_GB2312" w:eastAsia="方正仿宋_GB2312" w:cs="方正仿宋_GB2312"/>
          <w:b/>
          <w:color w:val="000000"/>
          <w:sz w:val="28"/>
        </w:rPr>
        <w:t>云南省渔业科学研究院</w:t>
      </w:r>
    </w:p>
    <w:p w14:paraId="1DE4EA07">
      <w:pPr>
        <w:pStyle w:val="14"/>
        <w:spacing w:line="360" w:lineRule="auto"/>
        <w:ind w:firstLine="4416" w:firstLineChars="1600"/>
        <w:rPr>
          <w:rFonts w:hint="eastAsia" w:ascii="方正仿宋_GB2312" w:hAnsi="方正仿宋_GB2312" w:eastAsia="方正仿宋_GB2312" w:cs="方正仿宋_GB2312"/>
          <w:color w:val="auto"/>
          <w:sz w:val="28"/>
          <w:szCs w:val="28"/>
          <w:lang w:eastAsia="zh-CN"/>
        </w:rPr>
      </w:pPr>
      <w:r>
        <w:rPr>
          <w:rFonts w:ascii="方正仿宋_GB2312" w:hAnsi="方正仿宋_GB2312" w:eastAsia="方正仿宋_GB2312" w:cs="方正仿宋_GB2312"/>
          <w:b/>
          <w:color w:val="000000"/>
          <w:sz w:val="28"/>
        </w:rPr>
        <w:t>2026年</w:t>
      </w:r>
      <w:r>
        <w:rPr>
          <w:rFonts w:hint="eastAsia" w:ascii="方正仿宋_GB2312" w:hAnsi="方正仿宋_GB2312" w:eastAsia="方正仿宋_GB2312" w:cs="方正仿宋_GB2312"/>
          <w:b/>
          <w:color w:val="000000"/>
          <w:sz w:val="28"/>
          <w:lang w:val="en-US" w:eastAsia="zh-CN"/>
        </w:rPr>
        <w:t>7</w:t>
      </w:r>
      <w:r>
        <w:rPr>
          <w:rFonts w:ascii="方正仿宋_GB2312" w:hAnsi="方正仿宋_GB2312" w:eastAsia="方正仿宋_GB2312" w:cs="方正仿宋_GB2312"/>
          <w:b/>
          <w:color w:val="000000"/>
          <w:sz w:val="28"/>
        </w:rPr>
        <w:t>月</w:t>
      </w:r>
      <w:r>
        <w:rPr>
          <w:rFonts w:hint="eastAsia" w:ascii="方正仿宋_GB2312" w:hAnsi="方正仿宋_GB2312" w:eastAsia="方正仿宋_GB2312" w:cs="方正仿宋_GB2312"/>
          <w:b/>
          <w:color w:val="000000"/>
          <w:sz w:val="28"/>
          <w:lang w:val="en-US" w:eastAsia="zh-CN"/>
        </w:rPr>
        <w:t>31</w:t>
      </w:r>
      <w:r>
        <w:rPr>
          <w:rFonts w:ascii="方正仿宋_GB2312" w:hAnsi="方正仿宋_GB2312" w:eastAsia="方正仿宋_GB2312" w:cs="方正仿宋_GB2312"/>
          <w:b/>
          <w:color w:val="000000"/>
          <w:sz w:val="28"/>
        </w:rPr>
        <w:t>日</w:t>
      </w:r>
    </w:p>
    <w:p w14:paraId="1A12CF46">
      <w:pPr>
        <w:spacing w:line="520" w:lineRule="exact"/>
        <w:jc w:val="left"/>
        <w:rPr>
          <w:rFonts w:hint="eastAsia" w:ascii="方正仿宋_GB2312" w:hAnsi="方正仿宋_GB2312" w:eastAsia="方正仿宋_GB2312" w:cs="方正仿宋_GB2312"/>
        </w:rPr>
      </w:pPr>
    </w:p>
    <w:sectPr>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kNTMzNzcwMjEzY2NhMTU1NzNhYWU3Yzk2ZjRmNzQifQ=="/>
  </w:docVars>
  <w:rsids>
    <w:rsidRoot w:val="1F260EEA"/>
    <w:rsid w:val="00037E2D"/>
    <w:rsid w:val="00297727"/>
    <w:rsid w:val="00375753"/>
    <w:rsid w:val="003908F4"/>
    <w:rsid w:val="0053280C"/>
    <w:rsid w:val="0061534B"/>
    <w:rsid w:val="007160C1"/>
    <w:rsid w:val="007C3DA8"/>
    <w:rsid w:val="007F7BE9"/>
    <w:rsid w:val="00960EB5"/>
    <w:rsid w:val="00AE01BC"/>
    <w:rsid w:val="00C17B57"/>
    <w:rsid w:val="00C44F54"/>
    <w:rsid w:val="00D452B2"/>
    <w:rsid w:val="00D83718"/>
    <w:rsid w:val="00DC4287"/>
    <w:rsid w:val="10A11E4A"/>
    <w:rsid w:val="173E7B16"/>
    <w:rsid w:val="1F260EEA"/>
    <w:rsid w:val="2C2E2D0D"/>
    <w:rsid w:val="2D061A05"/>
    <w:rsid w:val="3E1F1402"/>
    <w:rsid w:val="40BB1FA0"/>
    <w:rsid w:val="41073F9E"/>
    <w:rsid w:val="43772228"/>
    <w:rsid w:val="45980FBB"/>
    <w:rsid w:val="4A5C65A7"/>
    <w:rsid w:val="4E326FBC"/>
    <w:rsid w:val="51616BD0"/>
    <w:rsid w:val="65623EEE"/>
    <w:rsid w:val="6C132654"/>
    <w:rsid w:val="6F1A3AE5"/>
    <w:rsid w:val="6F1B17F3"/>
    <w:rsid w:val="729A1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400" w:lineRule="exact"/>
      <w:jc w:val="center"/>
      <w:outlineLvl w:val="1"/>
    </w:pPr>
    <w:rPr>
      <w:rFonts w:ascii="Arial" w:hAnsi="Arial"/>
      <w:b/>
      <w:kern w:val="0"/>
      <w:sz w:val="3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200" w:lineRule="exact"/>
      <w:ind w:firstLine="301"/>
    </w:pPr>
    <w:rPr>
      <w:rFonts w:ascii="宋体"/>
      <w:spacing w:val="-4"/>
      <w:sz w:val="18"/>
      <w:szCs w:val="2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Body Text First Indent 2"/>
    <w:basedOn w:val="4"/>
    <w:unhideWhenUsed/>
    <w:qFormat/>
    <w:uiPriority w:val="99"/>
    <w:pPr>
      <w:spacing w:after="120" w:line="240" w:lineRule="auto"/>
      <w:ind w:left="420" w:leftChars="200" w:firstLine="420" w:firstLineChars="200"/>
    </w:pPr>
    <w:rPr>
      <w:sz w:val="21"/>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Char"/>
    <w:basedOn w:val="10"/>
    <w:link w:val="6"/>
    <w:qFormat/>
    <w:uiPriority w:val="0"/>
    <w:rPr>
      <w:rFonts w:ascii="Times New Roman" w:hAnsi="Times New Roman" w:eastAsia="宋体" w:cs="Times New Roman"/>
      <w:kern w:val="2"/>
      <w:sz w:val="18"/>
      <w:szCs w:val="18"/>
    </w:rPr>
  </w:style>
  <w:style w:type="character" w:customStyle="1" w:styleId="12">
    <w:name w:val="页脚 Char"/>
    <w:basedOn w:val="10"/>
    <w:link w:val="5"/>
    <w:qFormat/>
    <w:uiPriority w:val="0"/>
    <w:rPr>
      <w:rFonts w:ascii="Times New Roman" w:hAnsi="Times New Roman" w:eastAsia="宋体" w:cs="Times New Roman"/>
      <w:kern w:val="2"/>
      <w:sz w:val="18"/>
      <w:szCs w:val="18"/>
    </w:rPr>
  </w:style>
  <w:style w:type="paragraph" w:styleId="13">
    <w:name w:val="List Paragraph"/>
    <w:basedOn w:val="1"/>
    <w:unhideWhenUsed/>
    <w:qFormat/>
    <w:uiPriority w:val="99"/>
    <w:pPr>
      <w:ind w:firstLine="420" w:firstLineChars="200"/>
    </w:pPr>
  </w:style>
  <w:style w:type="paragraph" w:customStyle="1" w:styleId="14">
    <w:name w:val="null5"/>
    <w:hidden/>
    <w:qFormat/>
    <w:uiPriority w:val="0"/>
    <w:rPr>
      <w:rFonts w:hint="eastAsia" w:ascii="仿宋_GB2312" w:hAnsi="仿宋_GB2312" w:eastAsia="仿宋_GB2312" w:cs="仿宋_GB231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2394</Words>
  <Characters>2449</Characters>
  <Lines>7</Lines>
  <Paragraphs>2</Paragraphs>
  <TotalTime>4</TotalTime>
  <ScaleCrop>false</ScaleCrop>
  <LinksUpToDate>false</LinksUpToDate>
  <CharactersWithSpaces>2459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2024-04-08T02:59:00Z</dcterms:created>
  <dc:creator>东方子昔</dc:creator>
  <cp:lastModifiedBy>zyh</cp:lastModifiedBy>
  <dcterms:modified xsi:type="dcterms:W3CDTF">2026-07-31T09:43:20Z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465C2E001379417BACAF487D74214961_13</vt:lpwstr>
  </property>
  <property fmtid="{D5CDD505-2E9C-101B-9397-08002B2CF9AE}" pid="4" name="KSOTemplateDocerSaveRecord">
    <vt:lpwstr>eyJoZGlkIjoiMzEwNTM5NzYwMDRjMzkwZTVkZjY2ODkwMGIxNGU0OTUiLCJ1c2VySWQiOiI1NzkyMTIwNDkifQ==</vt:lpwstr>
  </property>
</Properties>
</file>