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748B87">
      <w:pPr>
        <w:pStyle w:val="13"/>
        <w:spacing w:line="360" w:lineRule="auto"/>
        <w:jc w:val="both"/>
        <w:rPr>
          <w:rFonts w:hint="eastAsia" w:ascii="黑体" w:hAnsi="黑体" w:eastAsia="黑体" w:cs="黑体"/>
          <w:b w:val="0"/>
          <w:bCs w:val="0"/>
          <w:color w:val="auto"/>
          <w:sz w:val="28"/>
          <w:szCs w:val="28"/>
          <w:lang w:val="en-US" w:eastAsia="zh-CN"/>
        </w:rPr>
      </w:pPr>
      <w:bookmarkStart w:id="0" w:name="_GoBack"/>
      <w:bookmarkEnd w:id="0"/>
      <w:r>
        <w:rPr>
          <w:rFonts w:hint="eastAsia" w:ascii="黑体" w:hAnsi="黑体" w:eastAsia="黑体" w:cs="黑体"/>
          <w:b w:val="0"/>
          <w:bCs w:val="0"/>
          <w:color w:val="auto"/>
          <w:sz w:val="28"/>
          <w:szCs w:val="28"/>
          <w:lang w:val="en-US" w:eastAsia="zh-CN"/>
        </w:rPr>
        <w:t>附件1.</w:t>
      </w:r>
    </w:p>
    <w:p w14:paraId="69292822">
      <w:pPr>
        <w:pStyle w:val="13"/>
        <w:spacing w:line="360" w:lineRule="auto"/>
        <w:jc w:val="center"/>
        <w:outlineLvl w:val="0"/>
      </w:pPr>
      <w:r>
        <w:rPr>
          <w:rFonts w:hint="eastAsia" w:ascii="仿宋_GB2312" w:hAnsi="仿宋_GB2312" w:eastAsia="仿宋_GB2312" w:cs="仿宋_GB2312"/>
          <w:b/>
          <w:sz w:val="48"/>
        </w:rPr>
        <w:t>云南省渔业科学研究院关于2026年</w:t>
      </w:r>
      <w:r>
        <w:rPr>
          <w:rFonts w:hint="eastAsia" w:ascii="仿宋_GB2312" w:hAnsi="仿宋_GB2312" w:eastAsia="仿宋_GB2312" w:cs="仿宋_GB2312"/>
          <w:b/>
          <w:sz w:val="48"/>
          <w:lang w:val="en-US" w:eastAsia="zh-CN"/>
        </w:rPr>
        <w:t>油补资金项目静水压力机</w:t>
      </w:r>
      <w:r>
        <w:rPr>
          <w:rFonts w:hint="eastAsia" w:cs="仿宋_GB2312"/>
          <w:b/>
          <w:sz w:val="48"/>
          <w:lang w:val="en-US" w:eastAsia="zh-CN"/>
        </w:rPr>
        <w:t>采购</w:t>
      </w:r>
      <w:r>
        <w:rPr>
          <w:rFonts w:ascii="仿宋_GB2312" w:hAnsi="仿宋_GB2312" w:eastAsia="仿宋_GB2312" w:cs="仿宋_GB2312"/>
          <w:b/>
          <w:sz w:val="48"/>
        </w:rPr>
        <w:t>评审标准</w:t>
      </w:r>
    </w:p>
    <w:p w14:paraId="46FB3F51">
      <w:pPr>
        <w:pStyle w:val="13"/>
        <w:spacing w:line="360" w:lineRule="auto"/>
        <w:ind w:firstLineChars="200"/>
      </w:pPr>
      <w:r>
        <w:rPr>
          <w:rFonts w:ascii="仿宋_GB2312" w:hAnsi="仿宋_GB2312" w:eastAsia="仿宋_GB2312" w:cs="仿宋_GB2312"/>
          <w:b/>
          <w:color w:val="000000"/>
          <w:sz w:val="28"/>
        </w:rPr>
        <w:t>第一条 制定依据与目的</w:t>
      </w:r>
    </w:p>
    <w:p w14:paraId="75CB59B4">
      <w:pPr>
        <w:pStyle w:val="13"/>
        <w:spacing w:line="360" w:lineRule="auto"/>
        <w:ind w:firstLineChars="200"/>
      </w:pPr>
      <w:r>
        <w:rPr>
          <w:rFonts w:ascii="仿宋_GB2312" w:hAnsi="仿宋_GB2312" w:eastAsia="仿宋_GB2312" w:cs="仿宋_GB2312"/>
          <w:color w:val="000000"/>
          <w:sz w:val="28"/>
        </w:rPr>
        <w:t>为规范“</w:t>
      </w:r>
      <w:r>
        <w:rPr>
          <w:rFonts w:hint="eastAsia" w:ascii="仿宋_GB2312" w:hAnsi="仿宋_GB2312" w:eastAsia="仿宋_GB2312" w:cs="仿宋_GB2312"/>
          <w:color w:val="000000"/>
          <w:sz w:val="28"/>
        </w:rPr>
        <w:t>云南省渔业科学研究院关于2026年</w:t>
      </w:r>
      <w:r>
        <w:rPr>
          <w:rFonts w:hint="eastAsia" w:ascii="仿宋_GB2312" w:hAnsi="仿宋_GB2312" w:eastAsia="仿宋_GB2312" w:cs="仿宋_GB2312"/>
          <w:color w:val="000000"/>
          <w:sz w:val="28"/>
          <w:lang w:val="en-US" w:eastAsia="zh-CN"/>
        </w:rPr>
        <w:t>油补资金项目静水压力机</w:t>
      </w:r>
      <w:r>
        <w:rPr>
          <w:rFonts w:hint="eastAsia" w:cs="仿宋_GB2312"/>
          <w:color w:val="000000"/>
          <w:sz w:val="28"/>
          <w:lang w:val="en-US" w:eastAsia="zh-CN"/>
        </w:rPr>
        <w:t>采购</w:t>
      </w:r>
      <w:r>
        <w:rPr>
          <w:rFonts w:ascii="仿宋_GB2312" w:hAnsi="仿宋_GB2312" w:eastAsia="仿宋_GB2312" w:cs="仿宋_GB2312"/>
          <w:color w:val="000000"/>
          <w:sz w:val="28"/>
        </w:rPr>
        <w:t>”的评审活动，确保采购过程合法、合规、公开、公平、公正，根据</w:t>
      </w:r>
      <w:r>
        <w:rPr>
          <w:rFonts w:hint="eastAsia" w:cs="仿宋_GB2312"/>
          <w:color w:val="000000"/>
          <w:sz w:val="28"/>
          <w:lang w:val="en-US" w:eastAsia="zh-CN"/>
        </w:rPr>
        <w:t>相关法律及本单位采购规定</w:t>
      </w:r>
      <w:r>
        <w:rPr>
          <w:rFonts w:ascii="仿宋_GB2312" w:hAnsi="仿宋_GB2312" w:eastAsia="仿宋_GB2312" w:cs="仿宋_GB2312"/>
          <w:color w:val="000000"/>
          <w:sz w:val="28"/>
        </w:rPr>
        <w:t>，结合本项目采购需求的具体特点和实际需要，制定本评审标准。</w:t>
      </w:r>
    </w:p>
    <w:p w14:paraId="12C0138F">
      <w:pPr>
        <w:pStyle w:val="13"/>
        <w:spacing w:line="360" w:lineRule="auto"/>
        <w:ind w:firstLineChars="200"/>
      </w:pPr>
      <w:r>
        <w:rPr>
          <w:rFonts w:ascii="仿宋_GB2312" w:hAnsi="仿宋_GB2312" w:eastAsia="仿宋_GB2312" w:cs="仿宋_GB2312"/>
          <w:b/>
          <w:color w:val="000000"/>
          <w:sz w:val="28"/>
        </w:rPr>
        <w:t>第二条 适用范围</w:t>
      </w:r>
    </w:p>
    <w:p w14:paraId="3739020E">
      <w:pPr>
        <w:pStyle w:val="13"/>
        <w:spacing w:line="360" w:lineRule="auto"/>
        <w:ind w:firstLineChars="200"/>
      </w:pPr>
      <w:r>
        <w:rPr>
          <w:rFonts w:ascii="仿宋_GB2312" w:hAnsi="仿宋_GB2312" w:eastAsia="仿宋_GB2312" w:cs="仿宋_GB2312"/>
          <w:color w:val="000000"/>
          <w:sz w:val="28"/>
        </w:rPr>
        <w:t>本评审标准适用于本项目采购的评审活动，是评审委员会对所有供应商提交的响应文件进行评审和打分的唯一依据。评审委员会及所有参与采购活动的相关人员必须严格遵守。</w:t>
      </w:r>
    </w:p>
    <w:p w14:paraId="6DD94FC1">
      <w:pPr>
        <w:pStyle w:val="13"/>
        <w:spacing w:line="360" w:lineRule="auto"/>
        <w:ind w:firstLineChars="200"/>
      </w:pPr>
      <w:r>
        <w:rPr>
          <w:rFonts w:ascii="仿宋_GB2312" w:hAnsi="仿宋_GB2312" w:eastAsia="仿宋_GB2312" w:cs="仿宋_GB2312"/>
          <w:b/>
          <w:color w:val="000000"/>
          <w:sz w:val="28"/>
        </w:rPr>
        <w:t>第三条 评审基本原则</w:t>
      </w:r>
    </w:p>
    <w:p w14:paraId="410277C7">
      <w:pPr>
        <w:pStyle w:val="13"/>
        <w:spacing w:line="360" w:lineRule="auto"/>
        <w:ind w:firstLineChars="200"/>
      </w:pPr>
      <w:r>
        <w:rPr>
          <w:rFonts w:ascii="仿宋_GB2312" w:hAnsi="仿宋_GB2312" w:eastAsia="仿宋_GB2312" w:cs="仿宋_GB2312"/>
          <w:color w:val="000000"/>
          <w:sz w:val="28"/>
        </w:rPr>
        <w:t>评审活动应当遵循政府采购公开透明、公平竞争、公正和诚实信用的原则。具体而言：</w:t>
      </w:r>
    </w:p>
    <w:p w14:paraId="72149FBC">
      <w:pPr>
        <w:pStyle w:val="13"/>
        <w:spacing w:line="360" w:lineRule="auto"/>
        <w:ind w:firstLineChars="200"/>
      </w:pPr>
      <w:r>
        <w:rPr>
          <w:rFonts w:ascii="仿宋_GB2312" w:hAnsi="仿宋_GB2312" w:eastAsia="仿宋_GB2312" w:cs="仿宋_GB2312"/>
          <w:color w:val="000000"/>
          <w:sz w:val="28"/>
        </w:rPr>
        <w:t>1.</w:t>
      </w:r>
      <w:r>
        <w:rPr>
          <w:rFonts w:ascii="仿宋_GB2312" w:hAnsi="仿宋_GB2312" w:eastAsia="仿宋_GB2312" w:cs="仿宋_GB2312"/>
          <w:b/>
          <w:color w:val="000000"/>
          <w:sz w:val="28"/>
        </w:rPr>
        <w:t>公开透明原则：</w:t>
      </w:r>
      <w:r>
        <w:rPr>
          <w:rFonts w:ascii="仿宋_GB2312" w:hAnsi="仿宋_GB2312" w:eastAsia="仿宋_GB2312" w:cs="仿宋_GB2312"/>
          <w:color w:val="000000"/>
          <w:sz w:val="28"/>
        </w:rPr>
        <w:t>本评审标准随采购文件公开发布，评审过程及结果依法公开，确保所有程序可追溯。</w:t>
      </w:r>
    </w:p>
    <w:p w14:paraId="2C377234">
      <w:pPr>
        <w:pStyle w:val="13"/>
        <w:spacing w:line="360" w:lineRule="auto"/>
        <w:ind w:firstLineChars="200"/>
      </w:pPr>
      <w:r>
        <w:rPr>
          <w:rFonts w:ascii="仿宋_GB2312" w:hAnsi="仿宋_GB2312" w:eastAsia="仿宋_GB2312" w:cs="仿宋_GB2312"/>
          <w:color w:val="000000"/>
          <w:sz w:val="28"/>
        </w:rPr>
        <w:t>2.</w:t>
      </w:r>
      <w:r>
        <w:rPr>
          <w:rFonts w:ascii="仿宋_GB2312" w:hAnsi="仿宋_GB2312" w:eastAsia="仿宋_GB2312" w:cs="仿宋_GB2312"/>
          <w:b/>
          <w:color w:val="000000"/>
          <w:sz w:val="28"/>
        </w:rPr>
        <w:t>公平公正原则：</w:t>
      </w:r>
      <w:r>
        <w:rPr>
          <w:rFonts w:ascii="仿宋_GB2312" w:hAnsi="仿宋_GB2312" w:eastAsia="仿宋_GB2312" w:cs="仿宋_GB2312"/>
          <w:color w:val="000000"/>
          <w:sz w:val="28"/>
        </w:rPr>
        <w:t>对所有供应商一视同仁，评审标准的设定严格以采购项目的具体特点和实际需要为依据，禁止设定与合同履行无关的资格、技术、商务条件，严禁以不合理的条件对供应商实行差别待遇或者歧视待遇。</w:t>
      </w:r>
    </w:p>
    <w:p w14:paraId="32E76DDA">
      <w:pPr>
        <w:pStyle w:val="13"/>
        <w:spacing w:line="360" w:lineRule="auto"/>
        <w:ind w:firstLineChars="200"/>
      </w:pPr>
      <w:r>
        <w:rPr>
          <w:rFonts w:ascii="仿宋_GB2312" w:hAnsi="仿宋_GB2312" w:eastAsia="仿宋_GB2312" w:cs="仿宋_GB2312"/>
          <w:color w:val="000000"/>
          <w:sz w:val="28"/>
        </w:rPr>
        <w:t>3.</w:t>
      </w:r>
      <w:r>
        <w:rPr>
          <w:rFonts w:ascii="仿宋_GB2312" w:hAnsi="仿宋_GB2312" w:eastAsia="仿宋_GB2312" w:cs="仿宋_GB2312"/>
          <w:b/>
          <w:color w:val="000000"/>
          <w:sz w:val="28"/>
        </w:rPr>
        <w:t>科学合理原则：</w:t>
      </w:r>
      <w:r>
        <w:rPr>
          <w:rFonts w:ascii="仿宋_GB2312" w:hAnsi="仿宋_GB2312" w:eastAsia="仿宋_GB2312" w:cs="仿宋_GB2312"/>
          <w:color w:val="000000"/>
          <w:sz w:val="28"/>
        </w:rPr>
        <w:t>评审因素全面、客观，评分标准具体、明确、可操作，权重分配合理，能够科学评估供应商提供的产品、价格、服务及履约能力。</w:t>
      </w:r>
    </w:p>
    <w:p w14:paraId="5E8504F1">
      <w:pPr>
        <w:pStyle w:val="13"/>
        <w:spacing w:line="360" w:lineRule="auto"/>
        <w:ind w:firstLineChars="200"/>
      </w:pPr>
      <w:r>
        <w:rPr>
          <w:rFonts w:ascii="仿宋_GB2312" w:hAnsi="仿宋_GB2312" w:eastAsia="仿宋_GB2312" w:cs="仿宋_GB2312"/>
          <w:color w:val="000000"/>
          <w:sz w:val="28"/>
        </w:rPr>
        <w:t>4.</w:t>
      </w:r>
      <w:r>
        <w:rPr>
          <w:rFonts w:ascii="仿宋_GB2312" w:hAnsi="仿宋_GB2312" w:eastAsia="仿宋_GB2312" w:cs="仿宋_GB2312"/>
          <w:b/>
          <w:color w:val="000000"/>
          <w:sz w:val="28"/>
        </w:rPr>
        <w:t>竞争择优原则：</w:t>
      </w:r>
      <w:r>
        <w:rPr>
          <w:rFonts w:ascii="仿宋_GB2312" w:hAnsi="仿宋_GB2312" w:eastAsia="仿宋_GB2312" w:cs="仿宋_GB2312"/>
          <w:color w:val="000000"/>
          <w:sz w:val="28"/>
        </w:rPr>
        <w:t>通过综合评审，在满足全部实质性要求的前提下，择优选择综合实力强、报价合理、最符合采购需求的成交供应商。</w:t>
      </w:r>
    </w:p>
    <w:p w14:paraId="3309E6CE">
      <w:pPr>
        <w:pStyle w:val="13"/>
        <w:spacing w:line="360" w:lineRule="auto"/>
        <w:ind w:firstLineChars="200"/>
      </w:pPr>
      <w:r>
        <w:rPr>
          <w:rFonts w:ascii="仿宋_GB2312" w:hAnsi="仿宋_GB2312" w:eastAsia="仿宋_GB2312" w:cs="仿宋_GB2312"/>
          <w:b/>
          <w:color w:val="000000"/>
          <w:sz w:val="28"/>
        </w:rPr>
        <w:t>第四条 评审委员会组成</w:t>
      </w:r>
    </w:p>
    <w:p w14:paraId="1EB49A12">
      <w:pPr>
        <w:pStyle w:val="13"/>
        <w:spacing w:line="360" w:lineRule="auto"/>
        <w:ind w:firstLineChars="200"/>
      </w:pPr>
      <w:r>
        <w:rPr>
          <w:rFonts w:ascii="仿宋_GB2312" w:hAnsi="仿宋_GB2312" w:eastAsia="仿宋_GB2312" w:cs="仿宋_GB2312"/>
          <w:color w:val="000000"/>
          <w:sz w:val="28"/>
        </w:rPr>
        <w:t>本项目评审委员会（即询价小组）由采购人代表和评审专家共三人以上的单数组成，其中评审专家的人数不得少于成员总数的三分之二。评审委员会成员应当独立、客观、公正地进行评审，并对本人的评审意见承担个人责任。评审委员会名单在成交结果公告前应当保密。</w:t>
      </w:r>
    </w:p>
    <w:p w14:paraId="18650623">
      <w:pPr>
        <w:pStyle w:val="13"/>
        <w:spacing w:line="360" w:lineRule="auto"/>
        <w:ind w:firstLineChars="200"/>
      </w:pPr>
      <w:r>
        <w:rPr>
          <w:rFonts w:ascii="仿宋_GB2312" w:hAnsi="仿宋_GB2312" w:eastAsia="仿宋_GB2312" w:cs="仿宋_GB2312"/>
          <w:b/>
          <w:color w:val="000000"/>
          <w:sz w:val="28"/>
        </w:rPr>
        <w:t>第五条 评审方法与程序</w:t>
      </w:r>
    </w:p>
    <w:p w14:paraId="669F3F9E">
      <w:pPr>
        <w:pStyle w:val="13"/>
        <w:spacing w:line="360" w:lineRule="auto"/>
        <w:ind w:firstLineChars="200"/>
      </w:pPr>
      <w:r>
        <w:rPr>
          <w:rFonts w:ascii="仿宋_GB2312" w:hAnsi="仿宋_GB2312" w:eastAsia="仿宋_GB2312" w:cs="仿宋_GB2312"/>
          <w:color w:val="000000"/>
          <w:sz w:val="28"/>
        </w:rPr>
        <w:t>1.</w:t>
      </w:r>
      <w:r>
        <w:rPr>
          <w:rFonts w:ascii="仿宋_GB2312" w:hAnsi="仿宋_GB2312" w:eastAsia="仿宋_GB2312" w:cs="仿宋_GB2312"/>
          <w:b/>
          <w:color w:val="000000"/>
          <w:sz w:val="28"/>
        </w:rPr>
        <w:t>评审方法：</w:t>
      </w:r>
      <w:r>
        <w:rPr>
          <w:rFonts w:ascii="仿宋_GB2312" w:hAnsi="仿宋_GB2312" w:eastAsia="仿宋_GB2312" w:cs="仿宋_GB2312"/>
          <w:color w:val="000000"/>
          <w:sz w:val="28"/>
        </w:rPr>
        <w:t>本项目采用综合评分法。评审委员会将依据本评审标准，对通过符合性审查的响应文件进行评审和打分，按总得分由高到低的顺序推荐成交候选人。</w:t>
      </w:r>
    </w:p>
    <w:p w14:paraId="3112A336">
      <w:pPr>
        <w:pStyle w:val="13"/>
        <w:spacing w:line="360" w:lineRule="auto"/>
        <w:ind w:firstLineChars="200"/>
      </w:pPr>
      <w:r>
        <w:rPr>
          <w:rFonts w:ascii="仿宋_GB2312" w:hAnsi="仿宋_GB2312" w:eastAsia="仿宋_GB2312" w:cs="仿宋_GB2312"/>
          <w:color w:val="000000"/>
          <w:sz w:val="28"/>
        </w:rPr>
        <w:t>2.</w:t>
      </w:r>
      <w:r>
        <w:rPr>
          <w:rFonts w:ascii="仿宋_GB2312" w:hAnsi="仿宋_GB2312" w:eastAsia="仿宋_GB2312" w:cs="仿宋_GB2312"/>
          <w:b/>
          <w:color w:val="000000"/>
          <w:sz w:val="28"/>
        </w:rPr>
        <w:t>评审程序：</w:t>
      </w:r>
    </w:p>
    <w:p w14:paraId="10B8263F">
      <w:pPr>
        <w:pStyle w:val="13"/>
        <w:spacing w:line="360" w:lineRule="auto"/>
        <w:ind w:firstLineChars="200"/>
        <w:rPr>
          <w:rFonts w:ascii="仿宋_GB2312" w:hAnsi="仿宋_GB2312" w:eastAsia="仿宋_GB2312" w:cs="仿宋_GB2312"/>
          <w:color w:val="000000"/>
          <w:sz w:val="28"/>
        </w:rPr>
      </w:pPr>
      <w:r>
        <w:rPr>
          <w:rFonts w:ascii="仿宋_GB2312" w:hAnsi="仿宋_GB2312" w:eastAsia="仿宋_GB2312" w:cs="仿宋_GB2312"/>
          <w:color w:val="000000"/>
          <w:sz w:val="28"/>
        </w:rPr>
        <w:t>符合性审查：评审委员会首先依据采购文件规定的供应商资格要求及响应文件递交要求，对所有响应文件进行资格性检查和符合性审查。未通过审查的响应文件，不再进入详细评审。</w:t>
      </w:r>
    </w:p>
    <w:p w14:paraId="529B2039">
      <w:pPr>
        <w:pStyle w:val="13"/>
        <w:spacing w:line="360" w:lineRule="auto"/>
        <w:ind w:firstLineChars="200"/>
        <w:rPr>
          <w:rFonts w:ascii="仿宋_GB2312" w:hAnsi="仿宋_GB2312" w:eastAsia="仿宋_GB2312" w:cs="仿宋_GB2312"/>
          <w:color w:val="000000"/>
          <w:sz w:val="28"/>
        </w:rPr>
      </w:pPr>
      <w:r>
        <w:rPr>
          <w:rFonts w:ascii="仿宋_GB2312" w:hAnsi="仿宋_GB2312" w:eastAsia="仿宋_GB2312" w:cs="仿宋_GB2312"/>
          <w:color w:val="000000"/>
          <w:sz w:val="28"/>
        </w:rPr>
        <w:t>详细评审：对通过符合性审查的响应文件，评审委员会各成员应按照本评审标准第六</w:t>
      </w:r>
      <w:r>
        <w:rPr>
          <w:rFonts w:hint="eastAsia" w:cs="仿宋_GB2312"/>
          <w:color w:val="000000"/>
          <w:sz w:val="28"/>
          <w:lang w:val="en-US" w:eastAsia="zh-CN"/>
        </w:rPr>
        <w:t>条</w:t>
      </w:r>
      <w:r>
        <w:rPr>
          <w:rFonts w:ascii="仿宋_GB2312" w:hAnsi="仿宋_GB2312" w:eastAsia="仿宋_GB2312" w:cs="仿宋_GB2312"/>
          <w:color w:val="000000"/>
          <w:sz w:val="28"/>
        </w:rPr>
        <w:t xml:space="preserve">的评分细则，独立进行评审和打分。所有评分必须基于响应文件中提供的、清晰有效的证明材料，并详细记录打分理由。 </w:t>
      </w:r>
    </w:p>
    <w:p w14:paraId="1AE9766B">
      <w:pPr>
        <w:pStyle w:val="13"/>
        <w:spacing w:line="360" w:lineRule="auto"/>
        <w:ind w:firstLineChars="200"/>
      </w:pPr>
      <w:r>
        <w:rPr>
          <w:rFonts w:ascii="仿宋_GB2312" w:hAnsi="仿宋_GB2312" w:eastAsia="仿宋_GB2312" w:cs="仿宋_GB2312"/>
          <w:color w:val="000000"/>
          <w:sz w:val="28"/>
        </w:rPr>
        <w:t>汇总与推荐：评审委员会完成独立打分后，进行汇总，计算各供应商的最终评审得分。按照最终得分由高到低的顺序推荐成交候选供应商。</w:t>
      </w:r>
    </w:p>
    <w:p w14:paraId="50EB428C">
      <w:pPr>
        <w:pStyle w:val="13"/>
        <w:spacing w:line="360" w:lineRule="auto"/>
        <w:ind w:firstLineChars="200"/>
      </w:pPr>
      <w:r>
        <w:rPr>
          <w:rFonts w:ascii="仿宋_GB2312" w:hAnsi="仿宋_GB2312" w:eastAsia="仿宋_GB2312" w:cs="仿宋_GB2312"/>
          <w:b/>
          <w:color w:val="000000"/>
          <w:sz w:val="28"/>
        </w:rPr>
        <w:t>第六条 评分细则</w:t>
      </w:r>
    </w:p>
    <w:p w14:paraId="75A7C499">
      <w:pPr>
        <w:pStyle w:val="13"/>
        <w:spacing w:line="360" w:lineRule="auto"/>
        <w:ind w:firstLineChars="200"/>
      </w:pPr>
      <w:r>
        <w:rPr>
          <w:rFonts w:ascii="仿宋_GB2312" w:hAnsi="仿宋_GB2312" w:eastAsia="仿宋_GB2312" w:cs="仿宋_GB2312"/>
          <w:color w:val="000000"/>
          <w:sz w:val="28"/>
        </w:rPr>
        <w:t>本次评审总分值为100分，其中价格部分60分，技术及服务部分40分。具体评分因素及标准如下：</w:t>
      </w:r>
    </w:p>
    <w:p w14:paraId="79C3C2CD">
      <w:pPr>
        <w:pStyle w:val="13"/>
        <w:spacing w:line="360" w:lineRule="auto"/>
        <w:ind w:firstLineChars="200"/>
      </w:pPr>
      <w:r>
        <w:rPr>
          <w:rFonts w:ascii="仿宋_GB2312" w:hAnsi="仿宋_GB2312" w:eastAsia="仿宋_GB2312" w:cs="仿宋_GB2312"/>
          <w:b/>
          <w:color w:val="000000"/>
          <w:sz w:val="28"/>
        </w:rPr>
        <w:t>一、价格部分（满分60分）</w:t>
      </w:r>
    </w:p>
    <w:p w14:paraId="0265E7CF">
      <w:pPr>
        <w:pStyle w:val="13"/>
        <w:spacing w:line="360" w:lineRule="auto"/>
        <w:ind w:firstLineChars="200"/>
      </w:pPr>
      <w:r>
        <w:rPr>
          <w:rFonts w:ascii="仿宋_GB2312" w:hAnsi="仿宋_GB2312" w:eastAsia="仿宋_GB2312" w:cs="仿宋_GB2312"/>
          <w:color w:val="000000"/>
          <w:sz w:val="28"/>
        </w:rPr>
        <w:t>1.</w:t>
      </w:r>
      <w:r>
        <w:rPr>
          <w:rFonts w:ascii="仿宋_GB2312" w:hAnsi="仿宋_GB2312" w:eastAsia="仿宋_GB2312" w:cs="仿宋_GB2312"/>
          <w:b/>
          <w:color w:val="000000"/>
          <w:sz w:val="28"/>
        </w:rPr>
        <w:t>评审内容：</w:t>
      </w:r>
      <w:r>
        <w:rPr>
          <w:rFonts w:ascii="仿宋_GB2312" w:hAnsi="仿宋_GB2312" w:eastAsia="仿宋_GB2312" w:cs="仿宋_GB2312"/>
          <w:color w:val="000000"/>
          <w:sz w:val="28"/>
        </w:rPr>
        <w:t>对供应商的最终报价进行评审。</w:t>
      </w:r>
    </w:p>
    <w:p w14:paraId="2D8E90F6">
      <w:pPr>
        <w:pStyle w:val="13"/>
        <w:spacing w:line="360" w:lineRule="auto"/>
        <w:ind w:firstLineChars="200"/>
      </w:pPr>
      <w:r>
        <w:rPr>
          <w:rFonts w:ascii="仿宋_GB2312" w:hAnsi="仿宋_GB2312" w:eastAsia="仿宋_GB2312" w:cs="仿宋_GB2312"/>
          <w:color w:val="000000"/>
          <w:sz w:val="28"/>
        </w:rPr>
        <w:t>2.</w:t>
      </w:r>
      <w:r>
        <w:rPr>
          <w:rFonts w:ascii="仿宋_GB2312" w:hAnsi="仿宋_GB2312" w:eastAsia="仿宋_GB2312" w:cs="仿宋_GB2312"/>
          <w:b/>
          <w:color w:val="000000"/>
          <w:sz w:val="28"/>
        </w:rPr>
        <w:t>评分标准：</w:t>
      </w:r>
    </w:p>
    <w:p w14:paraId="64A7A029">
      <w:pPr>
        <w:pStyle w:val="13"/>
        <w:spacing w:line="360" w:lineRule="auto"/>
        <w:ind w:firstLineChars="200"/>
        <w:rPr>
          <w:rFonts w:ascii="仿宋_GB2312" w:hAnsi="仿宋_GB2312" w:eastAsia="仿宋_GB2312" w:cs="仿宋_GB2312"/>
          <w:color w:val="000000"/>
          <w:sz w:val="28"/>
        </w:rPr>
      </w:pPr>
      <w:r>
        <w:rPr>
          <w:rFonts w:ascii="仿宋_GB2312" w:hAnsi="仿宋_GB2312" w:eastAsia="仿宋_GB2312" w:cs="仿宋_GB2312"/>
          <w:color w:val="000000"/>
          <w:sz w:val="28"/>
        </w:rPr>
        <w:t>以满足采购需求且通过符合性审查的有效报价中的最低报价为评标基准价，其价格得分为满分60分。其他供应商的价格得分统一按照下列公式计算：</w:t>
      </w:r>
    </w:p>
    <w:p w14:paraId="3BB8C661">
      <w:pPr>
        <w:pStyle w:val="13"/>
        <w:spacing w:line="360" w:lineRule="auto"/>
        <w:ind w:firstLineChars="200"/>
      </w:pPr>
      <w:r>
        <w:rPr>
          <w:rFonts w:ascii="仿宋_GB2312" w:hAnsi="仿宋_GB2312" w:eastAsia="仿宋_GB2312" w:cs="仿宋_GB2312"/>
          <w:color w:val="000000"/>
          <w:sz w:val="28"/>
        </w:rPr>
        <w:t>价格得分=(评标基准价/该供应商的报价)×60计算结果保留小数点后两位。</w:t>
      </w:r>
    </w:p>
    <w:p w14:paraId="155C06E7">
      <w:pPr>
        <w:pStyle w:val="13"/>
        <w:spacing w:line="360" w:lineRule="auto"/>
        <w:ind w:firstLineChars="200"/>
      </w:pPr>
      <w:r>
        <w:rPr>
          <w:rFonts w:ascii="仿宋_GB2312" w:hAnsi="仿宋_GB2312" w:eastAsia="仿宋_GB2312" w:cs="仿宋_GB2312"/>
          <w:b/>
          <w:color w:val="000000"/>
          <w:sz w:val="28"/>
        </w:rPr>
        <w:t>二、技术及</w:t>
      </w:r>
      <w:r>
        <w:rPr>
          <w:rFonts w:hint="eastAsia" w:cs="仿宋_GB2312"/>
          <w:b/>
          <w:color w:val="000000"/>
          <w:sz w:val="28"/>
          <w:lang w:val="en-US" w:eastAsia="zh-CN"/>
        </w:rPr>
        <w:t>商务</w:t>
      </w:r>
      <w:r>
        <w:rPr>
          <w:rFonts w:ascii="仿宋_GB2312" w:hAnsi="仿宋_GB2312" w:eastAsia="仿宋_GB2312" w:cs="仿宋_GB2312"/>
          <w:b/>
          <w:color w:val="000000"/>
          <w:sz w:val="28"/>
        </w:rPr>
        <w:t>部分（满分40分）</w:t>
      </w:r>
    </w:p>
    <w:p w14:paraId="56925D3C">
      <w:pPr>
        <w:pStyle w:val="13"/>
        <w:spacing w:line="360" w:lineRule="auto"/>
        <w:ind w:firstLineChars="200"/>
      </w:pPr>
      <w:r>
        <w:rPr>
          <w:rFonts w:hint="eastAsia" w:ascii="仿宋_GB2312" w:hAnsi="仿宋_GB2312" w:eastAsia="仿宋_GB2312" w:cs="仿宋_GB2312"/>
          <w:color w:val="000000"/>
          <w:sz w:val="28"/>
          <w:lang w:eastAsia="zh-CN"/>
        </w:rPr>
        <w:t>（</w:t>
      </w:r>
      <w:r>
        <w:rPr>
          <w:rFonts w:hint="eastAsia" w:ascii="仿宋_GB2312" w:hAnsi="仿宋_GB2312" w:eastAsia="仿宋_GB2312" w:cs="仿宋_GB2312"/>
          <w:color w:val="000000"/>
          <w:sz w:val="28"/>
          <w:lang w:val="en-US" w:eastAsia="zh-CN"/>
        </w:rPr>
        <w:t>一</w:t>
      </w:r>
      <w:r>
        <w:rPr>
          <w:rFonts w:hint="eastAsia" w:ascii="仿宋_GB2312" w:hAnsi="仿宋_GB2312" w:eastAsia="仿宋_GB2312" w:cs="仿宋_GB2312"/>
          <w:color w:val="000000"/>
          <w:sz w:val="28"/>
          <w:lang w:eastAsia="zh-CN"/>
        </w:rPr>
        <w:t>）</w:t>
      </w:r>
      <w:r>
        <w:rPr>
          <w:rFonts w:hint="eastAsia" w:cs="仿宋_GB2312"/>
          <w:color w:val="000000"/>
          <w:sz w:val="28"/>
          <w:lang w:val="en-US" w:eastAsia="zh-CN"/>
        </w:rPr>
        <w:t>压力机</w:t>
      </w:r>
      <w:r>
        <w:rPr>
          <w:rFonts w:ascii="仿宋_GB2312" w:hAnsi="仿宋_GB2312" w:eastAsia="仿宋_GB2312" w:cs="仿宋_GB2312"/>
          <w:color w:val="000000"/>
          <w:sz w:val="28"/>
        </w:rPr>
        <w:t>产品质量与技术指标响应情况，本项满分</w:t>
      </w:r>
      <w:r>
        <w:rPr>
          <w:rFonts w:hint="eastAsia" w:cs="仿宋_GB2312"/>
          <w:color w:val="000000"/>
          <w:sz w:val="28"/>
          <w:lang w:val="en-US" w:eastAsia="zh-CN"/>
        </w:rPr>
        <w:t>2</w:t>
      </w:r>
      <w:r>
        <w:rPr>
          <w:rFonts w:ascii="仿宋_GB2312" w:hAnsi="仿宋_GB2312" w:eastAsia="仿宋_GB2312" w:cs="仿宋_GB2312"/>
          <w:color w:val="000000"/>
          <w:sz w:val="28"/>
        </w:rPr>
        <w:t>0分</w:t>
      </w:r>
    </w:p>
    <w:p w14:paraId="6BBB3BBF">
      <w:pPr>
        <w:pStyle w:val="13"/>
        <w:spacing w:line="360" w:lineRule="auto"/>
        <w:ind w:firstLineChars="200"/>
      </w:pPr>
      <w:r>
        <w:rPr>
          <w:rFonts w:ascii="仿宋_GB2312" w:hAnsi="仿宋_GB2312" w:eastAsia="仿宋_GB2312" w:cs="仿宋_GB2312"/>
          <w:color w:val="000000"/>
          <w:sz w:val="28"/>
        </w:rPr>
        <w:t>1.评审内容：评审供应商所提供</w:t>
      </w:r>
      <w:r>
        <w:rPr>
          <w:rFonts w:hint="eastAsia" w:cs="仿宋_GB2312"/>
          <w:color w:val="000000"/>
          <w:sz w:val="28"/>
          <w:lang w:val="en-US" w:eastAsia="zh-CN"/>
        </w:rPr>
        <w:t>手动静水压力机</w:t>
      </w:r>
      <w:r>
        <w:rPr>
          <w:rFonts w:ascii="仿宋_GB2312" w:hAnsi="仿宋_GB2312" w:eastAsia="仿宋_GB2312" w:cs="仿宋_GB2312"/>
          <w:color w:val="000000"/>
          <w:sz w:val="28"/>
        </w:rPr>
        <w:t>产品对采购公告第五条第1款所列技术指标的响应符合性，以及产品质检报告、执行标准等证明材料的完整性与权威性。</w:t>
      </w:r>
    </w:p>
    <w:p w14:paraId="0E862036">
      <w:pPr>
        <w:pStyle w:val="13"/>
        <w:spacing w:line="360" w:lineRule="auto"/>
        <w:ind w:firstLineChars="200"/>
      </w:pPr>
      <w:r>
        <w:rPr>
          <w:rFonts w:ascii="仿宋_GB2312" w:hAnsi="仿宋_GB2312" w:eastAsia="仿宋_GB2312" w:cs="仿宋_GB2312"/>
          <w:color w:val="000000"/>
          <w:sz w:val="28"/>
        </w:rPr>
        <w:t>2.评分标准：</w:t>
      </w:r>
    </w:p>
    <w:p w14:paraId="2B5AE7A5">
      <w:pPr>
        <w:pStyle w:val="13"/>
        <w:spacing w:line="360" w:lineRule="auto"/>
        <w:ind w:firstLineChars="200"/>
      </w:pPr>
      <w:r>
        <w:rPr>
          <w:rFonts w:ascii="仿宋_GB2312" w:hAnsi="仿宋_GB2312" w:eastAsia="仿宋_GB2312" w:cs="仿宋_GB2312"/>
          <w:color w:val="000000"/>
          <w:sz w:val="28"/>
        </w:rPr>
        <w:t>所投产品技术指标</w:t>
      </w:r>
      <w:r>
        <w:rPr>
          <w:rFonts w:cs="仿宋_GB2312"/>
          <w:color w:val="000000"/>
          <w:sz w:val="28"/>
        </w:rPr>
        <w:t>优于</w:t>
      </w:r>
      <w:r>
        <w:rPr>
          <w:rFonts w:ascii="仿宋_GB2312" w:hAnsi="仿宋_GB2312" w:eastAsia="仿宋_GB2312" w:cs="仿宋_GB2312"/>
          <w:color w:val="000000"/>
          <w:sz w:val="28"/>
        </w:rPr>
        <w:t>采购公告要求，且提供国家级或省级权威检测机构出具的近期产品检测报告，证明材料充分完整的，得</w:t>
      </w:r>
      <w:r>
        <w:rPr>
          <w:rFonts w:hint="eastAsia" w:cs="仿宋_GB2312"/>
          <w:color w:val="000000"/>
          <w:sz w:val="28"/>
          <w:lang w:val="en-US" w:eastAsia="zh-CN"/>
        </w:rPr>
        <w:t>16</w:t>
      </w:r>
      <w:r>
        <w:rPr>
          <w:rFonts w:ascii="仿宋_GB2312" w:hAnsi="仿宋_GB2312" w:eastAsia="仿宋_GB2312" w:cs="仿宋_GB2312"/>
          <w:color w:val="000000"/>
          <w:sz w:val="28"/>
        </w:rPr>
        <w:t>至</w:t>
      </w:r>
      <w:r>
        <w:rPr>
          <w:rFonts w:hint="eastAsia" w:cs="仿宋_GB2312"/>
          <w:color w:val="000000"/>
          <w:sz w:val="28"/>
          <w:lang w:val="en-US" w:eastAsia="zh-CN"/>
        </w:rPr>
        <w:t>2</w:t>
      </w:r>
      <w:r>
        <w:rPr>
          <w:rFonts w:ascii="仿宋_GB2312" w:hAnsi="仿宋_GB2312" w:eastAsia="仿宋_GB2312" w:cs="仿宋_GB2312"/>
          <w:color w:val="000000"/>
          <w:sz w:val="28"/>
        </w:rPr>
        <w:t>0分；</w:t>
      </w:r>
    </w:p>
    <w:p w14:paraId="750D69D5">
      <w:pPr>
        <w:pStyle w:val="13"/>
        <w:spacing w:line="360" w:lineRule="auto"/>
        <w:ind w:firstLineChars="200"/>
      </w:pPr>
      <w:r>
        <w:rPr>
          <w:rFonts w:ascii="仿宋_GB2312" w:hAnsi="仿宋_GB2312" w:eastAsia="仿宋_GB2312" w:cs="仿宋_GB2312"/>
          <w:color w:val="000000"/>
          <w:sz w:val="28"/>
        </w:rPr>
        <w:t>所投产品技术指标完全满足采购公告要求，提供有效产品合格证明或检测报告的，得</w:t>
      </w:r>
      <w:r>
        <w:rPr>
          <w:rFonts w:hint="eastAsia" w:cs="仿宋_GB2312"/>
          <w:color w:val="000000"/>
          <w:sz w:val="28"/>
          <w:lang w:val="en-US" w:eastAsia="zh-CN"/>
        </w:rPr>
        <w:t>8</w:t>
      </w:r>
      <w:r>
        <w:rPr>
          <w:rFonts w:ascii="仿宋_GB2312" w:hAnsi="仿宋_GB2312" w:eastAsia="仿宋_GB2312" w:cs="仿宋_GB2312"/>
          <w:color w:val="000000"/>
          <w:sz w:val="28"/>
        </w:rPr>
        <w:t>至</w:t>
      </w:r>
      <w:r>
        <w:rPr>
          <w:rFonts w:hint="eastAsia" w:cs="仿宋_GB2312"/>
          <w:color w:val="000000"/>
          <w:sz w:val="28"/>
          <w:lang w:val="en-US" w:eastAsia="zh-CN"/>
        </w:rPr>
        <w:t>1</w:t>
      </w:r>
      <w:r>
        <w:rPr>
          <w:rFonts w:hint="default" w:cs="仿宋_GB2312"/>
          <w:color w:val="000000"/>
          <w:sz w:val="28"/>
          <w:lang w:eastAsia="zh-CN"/>
        </w:rPr>
        <w:t>5</w:t>
      </w:r>
      <w:r>
        <w:rPr>
          <w:rFonts w:ascii="仿宋_GB2312" w:hAnsi="仿宋_GB2312" w:eastAsia="仿宋_GB2312" w:cs="仿宋_GB2312"/>
          <w:color w:val="000000"/>
          <w:sz w:val="28"/>
        </w:rPr>
        <w:t>分；</w:t>
      </w:r>
    </w:p>
    <w:p w14:paraId="36ED780D">
      <w:pPr>
        <w:pStyle w:val="13"/>
        <w:spacing w:line="360" w:lineRule="auto"/>
        <w:ind w:firstLineChars="200"/>
      </w:pPr>
      <w:r>
        <w:rPr>
          <w:rFonts w:ascii="仿宋_GB2312" w:hAnsi="仿宋_GB2312" w:eastAsia="仿宋_GB2312" w:cs="仿宋_GB2312"/>
          <w:color w:val="000000"/>
          <w:sz w:val="28"/>
        </w:rPr>
        <w:t>所投产品技术指标基本满足或部分满足采购公告要求，或证明材料不充分的，得0至</w:t>
      </w:r>
      <w:r>
        <w:rPr>
          <w:rFonts w:hint="default" w:cs="仿宋_GB2312"/>
          <w:color w:val="000000"/>
          <w:sz w:val="28"/>
        </w:rPr>
        <w:t>7</w:t>
      </w:r>
      <w:r>
        <w:rPr>
          <w:rFonts w:ascii="仿宋_GB2312" w:hAnsi="仿宋_GB2312" w:eastAsia="仿宋_GB2312" w:cs="仿宋_GB2312"/>
          <w:color w:val="000000"/>
          <w:sz w:val="28"/>
        </w:rPr>
        <w:t>分。</w:t>
      </w:r>
    </w:p>
    <w:p w14:paraId="19A67D46">
      <w:pPr>
        <w:pStyle w:val="13"/>
        <w:spacing w:line="360" w:lineRule="auto"/>
        <w:ind w:firstLineChars="200"/>
      </w:pPr>
      <w:r>
        <w:rPr>
          <w:rFonts w:hint="eastAsia" w:ascii="仿宋_GB2312" w:hAnsi="仿宋_GB2312" w:eastAsia="仿宋_GB2312" w:cs="仿宋_GB2312"/>
          <w:color w:val="000000"/>
          <w:sz w:val="28"/>
          <w:lang w:eastAsia="zh-CN"/>
        </w:rPr>
        <w:t>（</w:t>
      </w:r>
      <w:r>
        <w:rPr>
          <w:rFonts w:hint="eastAsia" w:cs="仿宋_GB2312"/>
          <w:color w:val="000000"/>
          <w:sz w:val="28"/>
          <w:lang w:val="en-US" w:eastAsia="zh-CN"/>
        </w:rPr>
        <w:t>二</w:t>
      </w:r>
      <w:r>
        <w:rPr>
          <w:rFonts w:hint="eastAsia" w:ascii="仿宋_GB2312" w:hAnsi="仿宋_GB2312" w:eastAsia="仿宋_GB2312" w:cs="仿宋_GB2312"/>
          <w:color w:val="000000"/>
          <w:sz w:val="28"/>
          <w:lang w:eastAsia="zh-CN"/>
        </w:rPr>
        <w:t>）</w:t>
      </w:r>
      <w:r>
        <w:rPr>
          <w:rFonts w:ascii="仿宋_GB2312" w:hAnsi="仿宋_GB2312" w:eastAsia="仿宋_GB2312" w:cs="仿宋_GB2312"/>
          <w:color w:val="000000"/>
          <w:sz w:val="28"/>
        </w:rPr>
        <w:t>供货方案，本项满分8分</w:t>
      </w:r>
    </w:p>
    <w:p w14:paraId="7989D107">
      <w:pPr>
        <w:pStyle w:val="13"/>
        <w:spacing w:line="360" w:lineRule="auto"/>
        <w:ind w:firstLineChars="200"/>
      </w:pPr>
      <w:r>
        <w:rPr>
          <w:rFonts w:ascii="仿宋_GB2312" w:hAnsi="仿宋_GB2312" w:eastAsia="仿宋_GB2312" w:cs="仿宋_GB2312"/>
          <w:color w:val="000000"/>
          <w:sz w:val="28"/>
        </w:rPr>
        <w:t>1.评审内容：评审供应商针对本项目所制定的供货周期与交付计划、应急供货与延期处置预案的针对性与可行性。</w:t>
      </w:r>
    </w:p>
    <w:p w14:paraId="7E6BE242">
      <w:pPr>
        <w:pStyle w:val="13"/>
        <w:spacing w:line="360" w:lineRule="auto"/>
        <w:ind w:firstLineChars="200"/>
      </w:pPr>
      <w:r>
        <w:rPr>
          <w:rFonts w:ascii="仿宋_GB2312" w:hAnsi="仿宋_GB2312" w:eastAsia="仿宋_GB2312" w:cs="仿宋_GB2312"/>
          <w:color w:val="000000"/>
          <w:sz w:val="28"/>
        </w:rPr>
        <w:t>2.评分标准：</w:t>
      </w:r>
    </w:p>
    <w:p w14:paraId="1E35C1F8">
      <w:pPr>
        <w:pStyle w:val="13"/>
        <w:spacing w:line="360" w:lineRule="auto"/>
        <w:ind w:firstLineChars="200"/>
      </w:pPr>
      <w:r>
        <w:rPr>
          <w:rFonts w:ascii="仿宋_GB2312" w:hAnsi="仿宋_GB2312" w:eastAsia="仿宋_GB2312" w:cs="仿宋_GB2312"/>
          <w:color w:val="000000"/>
          <w:sz w:val="28"/>
        </w:rPr>
        <w:t>提供清晰具体、可落地的全流程供货进度计划，节点明确，应急及延期处置预案合理且可操作性强的，得6至8分；</w:t>
      </w:r>
    </w:p>
    <w:p w14:paraId="52EEA4B0">
      <w:pPr>
        <w:pStyle w:val="13"/>
        <w:spacing w:line="360" w:lineRule="auto"/>
        <w:ind w:firstLineChars="200"/>
      </w:pPr>
      <w:r>
        <w:rPr>
          <w:rFonts w:ascii="仿宋_GB2312" w:hAnsi="仿宋_GB2312" w:eastAsia="仿宋_GB2312" w:cs="仿宋_GB2312"/>
          <w:color w:val="000000"/>
          <w:sz w:val="28"/>
        </w:rPr>
        <w:t>提供完整供货进度计划，节点划分清晰，具备基础应急供货预案且内容基本完整的，得3至5分；</w:t>
      </w:r>
    </w:p>
    <w:p w14:paraId="23C9E325">
      <w:pPr>
        <w:pStyle w:val="13"/>
        <w:spacing w:line="360" w:lineRule="auto"/>
        <w:ind w:firstLineChars="200"/>
      </w:pPr>
      <w:r>
        <w:rPr>
          <w:rFonts w:ascii="仿宋_GB2312" w:hAnsi="仿宋_GB2312" w:eastAsia="仿宋_GB2312" w:cs="仿宋_GB2312"/>
          <w:color w:val="000000"/>
          <w:sz w:val="28"/>
        </w:rPr>
        <w:t>供货计划粗略、节点模糊，应急方案简略或无应急方案的，得0至2分。</w:t>
      </w:r>
    </w:p>
    <w:p w14:paraId="5929E739">
      <w:pPr>
        <w:pStyle w:val="13"/>
        <w:spacing w:line="360" w:lineRule="auto"/>
        <w:ind w:firstLineChars="200"/>
      </w:pPr>
      <w:r>
        <w:rPr>
          <w:rFonts w:hint="eastAsia" w:ascii="仿宋_GB2312" w:hAnsi="仿宋_GB2312" w:eastAsia="仿宋_GB2312" w:cs="仿宋_GB2312"/>
          <w:color w:val="000000"/>
          <w:sz w:val="28"/>
          <w:lang w:eastAsia="zh-CN"/>
        </w:rPr>
        <w:t>（</w:t>
      </w:r>
      <w:r>
        <w:rPr>
          <w:rFonts w:hint="eastAsia" w:cs="仿宋_GB2312"/>
          <w:color w:val="000000"/>
          <w:sz w:val="28"/>
          <w:lang w:val="en-US" w:eastAsia="zh-CN"/>
        </w:rPr>
        <w:t>三</w:t>
      </w:r>
      <w:r>
        <w:rPr>
          <w:rFonts w:hint="eastAsia" w:ascii="仿宋_GB2312" w:hAnsi="仿宋_GB2312" w:eastAsia="仿宋_GB2312" w:cs="仿宋_GB2312"/>
          <w:color w:val="000000"/>
          <w:sz w:val="28"/>
          <w:lang w:eastAsia="zh-CN"/>
        </w:rPr>
        <w:t>）</w:t>
      </w:r>
      <w:r>
        <w:rPr>
          <w:rFonts w:ascii="仿宋_GB2312" w:hAnsi="仿宋_GB2312" w:eastAsia="仿宋_GB2312" w:cs="仿宋_GB2312"/>
          <w:color w:val="000000"/>
          <w:sz w:val="28"/>
        </w:rPr>
        <w:t>质量保障与售后服务承诺，本项满分7分</w:t>
      </w:r>
    </w:p>
    <w:p w14:paraId="1E7CFF00">
      <w:pPr>
        <w:pStyle w:val="13"/>
        <w:spacing w:line="360" w:lineRule="auto"/>
        <w:ind w:firstLineChars="200"/>
      </w:pPr>
      <w:r>
        <w:rPr>
          <w:rFonts w:ascii="仿宋_GB2312" w:hAnsi="仿宋_GB2312" w:eastAsia="仿宋_GB2312" w:cs="仿宋_GB2312"/>
          <w:color w:val="000000"/>
          <w:sz w:val="28"/>
        </w:rPr>
        <w:t>1.评审内容：评审供应商提出的产品质量保证措施、验收配合方案及售后服务承诺的具体性、明确性</w:t>
      </w:r>
      <w:r>
        <w:rPr>
          <w:rFonts w:hint="eastAsia" w:cs="仿宋_GB2312"/>
          <w:color w:val="000000"/>
          <w:sz w:val="28"/>
          <w:lang w:eastAsia="zh-CN"/>
        </w:rPr>
        <w:t>、</w:t>
      </w:r>
      <w:r>
        <w:rPr>
          <w:rFonts w:hint="eastAsia" w:cs="仿宋_GB2312"/>
          <w:color w:val="000000"/>
          <w:sz w:val="28"/>
          <w:lang w:val="en-US" w:eastAsia="zh-CN"/>
        </w:rPr>
        <w:t>针对性</w:t>
      </w:r>
      <w:r>
        <w:rPr>
          <w:rFonts w:ascii="仿宋_GB2312" w:hAnsi="仿宋_GB2312" w:eastAsia="仿宋_GB2312" w:cs="仿宋_GB2312"/>
          <w:color w:val="000000"/>
          <w:sz w:val="28"/>
        </w:rPr>
        <w:t>和可执行性。</w:t>
      </w:r>
    </w:p>
    <w:p w14:paraId="661E6426">
      <w:pPr>
        <w:pStyle w:val="13"/>
        <w:spacing w:line="360" w:lineRule="auto"/>
        <w:ind w:firstLineChars="200"/>
      </w:pPr>
      <w:r>
        <w:rPr>
          <w:rFonts w:ascii="仿宋_GB2312" w:hAnsi="仿宋_GB2312" w:eastAsia="仿宋_GB2312" w:cs="仿宋_GB2312"/>
          <w:color w:val="000000"/>
          <w:sz w:val="28"/>
        </w:rPr>
        <w:t>2.评分标准：</w:t>
      </w:r>
    </w:p>
    <w:p w14:paraId="2934F6CB">
      <w:pPr>
        <w:pStyle w:val="13"/>
        <w:spacing w:line="360" w:lineRule="auto"/>
        <w:ind w:firstLineChars="200"/>
      </w:pPr>
      <w:r>
        <w:rPr>
          <w:rFonts w:ascii="仿宋_GB2312" w:hAnsi="仿宋_GB2312" w:eastAsia="仿宋_GB2312" w:cs="仿宋_GB2312"/>
          <w:color w:val="000000"/>
          <w:sz w:val="28"/>
        </w:rPr>
        <w:t>质量保障体系健全，验收配合方案具体，售后服务响应及时且承诺内容明确、有约束力的，得5至7分；</w:t>
      </w:r>
    </w:p>
    <w:p w14:paraId="58F15816">
      <w:pPr>
        <w:pStyle w:val="13"/>
        <w:spacing w:line="360" w:lineRule="auto"/>
        <w:ind w:firstLineChars="200"/>
      </w:pPr>
      <w:r>
        <w:rPr>
          <w:rFonts w:ascii="仿宋_GB2312" w:hAnsi="仿宋_GB2312" w:eastAsia="仿宋_GB2312" w:cs="仿宋_GB2312"/>
          <w:color w:val="000000"/>
          <w:sz w:val="28"/>
        </w:rPr>
        <w:t>有基本的质量保证和售后服务承诺，但内容不够具体或未明确响应时间的，得2至4分；</w:t>
      </w:r>
    </w:p>
    <w:p w14:paraId="63666CE4">
      <w:pPr>
        <w:pStyle w:val="13"/>
        <w:spacing w:line="360" w:lineRule="auto"/>
        <w:ind w:firstLineChars="200"/>
      </w:pPr>
      <w:r>
        <w:rPr>
          <w:rFonts w:ascii="仿宋_GB2312" w:hAnsi="仿宋_GB2312" w:eastAsia="仿宋_GB2312" w:cs="仿宋_GB2312"/>
          <w:color w:val="000000"/>
          <w:sz w:val="28"/>
        </w:rPr>
        <w:t>质量保障与售后服务承诺内容空泛，缺乏实质性措施的，得0至1分。</w:t>
      </w:r>
    </w:p>
    <w:p w14:paraId="10C412AE">
      <w:pPr>
        <w:pStyle w:val="13"/>
        <w:spacing w:line="360" w:lineRule="auto"/>
        <w:ind w:firstLineChars="200"/>
      </w:pPr>
      <w:r>
        <w:rPr>
          <w:rFonts w:hint="eastAsia" w:ascii="仿宋_GB2312" w:hAnsi="仿宋_GB2312" w:eastAsia="仿宋_GB2312" w:cs="仿宋_GB2312"/>
          <w:color w:val="000000"/>
          <w:sz w:val="28"/>
          <w:lang w:eastAsia="zh-CN"/>
        </w:rPr>
        <w:t>（</w:t>
      </w:r>
      <w:r>
        <w:rPr>
          <w:rFonts w:hint="eastAsia" w:cs="仿宋_GB2312"/>
          <w:color w:val="000000"/>
          <w:sz w:val="28"/>
          <w:lang w:val="en-US" w:eastAsia="zh-CN"/>
        </w:rPr>
        <w:t>四</w:t>
      </w:r>
      <w:r>
        <w:rPr>
          <w:rFonts w:hint="eastAsia" w:ascii="仿宋_GB2312" w:hAnsi="仿宋_GB2312" w:eastAsia="仿宋_GB2312" w:cs="仿宋_GB2312"/>
          <w:color w:val="000000"/>
          <w:sz w:val="28"/>
          <w:lang w:eastAsia="zh-CN"/>
        </w:rPr>
        <w:t>）</w:t>
      </w:r>
      <w:r>
        <w:rPr>
          <w:rFonts w:ascii="仿宋_GB2312" w:hAnsi="仿宋_GB2312" w:eastAsia="仿宋_GB2312" w:cs="仿宋_GB2312"/>
          <w:color w:val="000000"/>
          <w:sz w:val="28"/>
        </w:rPr>
        <w:t>履约能力与相关业绩，本项满分5分</w:t>
      </w:r>
    </w:p>
    <w:p w14:paraId="5A8EAF26">
      <w:pPr>
        <w:pStyle w:val="13"/>
        <w:spacing w:line="360" w:lineRule="auto"/>
        <w:ind w:firstLineChars="200"/>
      </w:pPr>
      <w:r>
        <w:rPr>
          <w:rFonts w:ascii="仿宋_GB2312" w:hAnsi="仿宋_GB2312" w:eastAsia="仿宋_GB2312" w:cs="仿宋_GB2312"/>
          <w:color w:val="000000"/>
          <w:sz w:val="28"/>
        </w:rPr>
        <w:t>1.评审内容：评审供应商的</w:t>
      </w:r>
      <w:r>
        <w:rPr>
          <w:rFonts w:hint="eastAsia" w:cs="仿宋_GB2312"/>
          <w:color w:val="000000"/>
          <w:sz w:val="28"/>
          <w:lang w:val="en-US" w:eastAsia="zh-CN"/>
        </w:rPr>
        <w:t>手动静水压力机</w:t>
      </w:r>
      <w:r>
        <w:rPr>
          <w:rFonts w:ascii="仿宋_GB2312" w:hAnsi="仿宋_GB2312" w:eastAsia="仿宋_GB2312" w:cs="仿宋_GB2312"/>
          <w:color w:val="000000"/>
          <w:sz w:val="28"/>
        </w:rPr>
        <w:t>供货经验、企业综合实力以及类似项目业绩。</w:t>
      </w:r>
    </w:p>
    <w:p w14:paraId="45845421">
      <w:pPr>
        <w:pStyle w:val="13"/>
        <w:spacing w:line="360" w:lineRule="auto"/>
        <w:ind w:firstLineChars="200"/>
      </w:pPr>
      <w:r>
        <w:rPr>
          <w:rFonts w:ascii="仿宋_GB2312" w:hAnsi="仿宋_GB2312" w:eastAsia="仿宋_GB2312" w:cs="仿宋_GB2312"/>
          <w:color w:val="000000"/>
          <w:sz w:val="28"/>
        </w:rPr>
        <w:t>2.评分标准：</w:t>
      </w:r>
    </w:p>
    <w:p w14:paraId="1AAF4E4A">
      <w:pPr>
        <w:pStyle w:val="13"/>
        <w:spacing w:line="360" w:lineRule="auto"/>
        <w:ind w:firstLineChars="200"/>
      </w:pPr>
      <w:r>
        <w:rPr>
          <w:rFonts w:ascii="仿宋_GB2312" w:hAnsi="仿宋_GB2312" w:eastAsia="仿宋_GB2312" w:cs="仿宋_GB2312"/>
          <w:color w:val="000000"/>
          <w:sz w:val="28"/>
        </w:rPr>
        <w:t>业绩部分：供应商自2023年1月1日以来，每提供一项成功</w:t>
      </w:r>
      <w:r>
        <w:rPr>
          <w:rFonts w:hint="eastAsia" w:cs="仿宋_GB2312"/>
          <w:color w:val="000000"/>
          <w:sz w:val="28"/>
          <w:lang w:val="en-US" w:eastAsia="zh-CN"/>
        </w:rPr>
        <w:t>手动静水压力机</w:t>
      </w:r>
      <w:r>
        <w:rPr>
          <w:rFonts w:ascii="仿宋_GB2312" w:hAnsi="仿宋_GB2312" w:eastAsia="仿宋_GB2312" w:cs="仿宋_GB2312"/>
          <w:color w:val="000000"/>
          <w:sz w:val="28"/>
        </w:rPr>
        <w:t>供货或类似货物销售合同业绩得1分，本项最高得2分。</w:t>
      </w:r>
    </w:p>
    <w:p w14:paraId="1FAE9223">
      <w:pPr>
        <w:pStyle w:val="13"/>
        <w:spacing w:line="360" w:lineRule="auto"/>
        <w:ind w:firstLineChars="200"/>
      </w:pPr>
      <w:r>
        <w:rPr>
          <w:rFonts w:ascii="仿宋_GB2312" w:hAnsi="仿宋_GB2312" w:eastAsia="仿宋_GB2312" w:cs="仿宋_GB2312"/>
          <w:color w:val="000000"/>
          <w:sz w:val="28"/>
        </w:rPr>
        <w:t>履约保障能力部分：根据供应商提供的财务报表、生产能力、仓储物流设施等情况综合评估。实力雄厚、保障充分的得3分；具备基本履约能力的得1至2分；无法有效证明的得0分。</w:t>
      </w:r>
    </w:p>
    <w:p w14:paraId="115E4BE5">
      <w:pPr>
        <w:pStyle w:val="13"/>
        <w:spacing w:line="360" w:lineRule="auto"/>
        <w:ind w:firstLineChars="200"/>
      </w:pPr>
      <w:r>
        <w:rPr>
          <w:rFonts w:ascii="仿宋_GB2312" w:hAnsi="仿宋_GB2312" w:eastAsia="仿宋_GB2312" w:cs="仿宋_GB2312"/>
          <w:b/>
          <w:color w:val="000000"/>
          <w:sz w:val="28"/>
        </w:rPr>
        <w:t>第七条 成交候选人推荐规则</w:t>
      </w:r>
    </w:p>
    <w:p w14:paraId="455E1C18">
      <w:pPr>
        <w:pStyle w:val="13"/>
        <w:spacing w:line="360" w:lineRule="auto"/>
        <w:ind w:firstLineChars="200"/>
      </w:pPr>
      <w:r>
        <w:rPr>
          <w:rFonts w:ascii="仿宋_GB2312" w:hAnsi="仿宋_GB2312" w:eastAsia="仿宋_GB2312" w:cs="仿宋_GB2312"/>
          <w:color w:val="000000"/>
          <w:sz w:val="28"/>
        </w:rPr>
        <w:t>1.评审委员会按最终评审得分由高到低的顺序推荐成交候选人。</w:t>
      </w:r>
    </w:p>
    <w:p w14:paraId="2270D5B6">
      <w:pPr>
        <w:pStyle w:val="13"/>
        <w:spacing w:line="360" w:lineRule="auto"/>
        <w:ind w:firstLineChars="200"/>
      </w:pPr>
      <w:r>
        <w:rPr>
          <w:rFonts w:ascii="仿宋_GB2312" w:hAnsi="仿宋_GB2312" w:eastAsia="仿宋_GB2312" w:cs="仿宋_GB2312"/>
          <w:color w:val="000000"/>
          <w:sz w:val="28"/>
        </w:rPr>
        <w:t>2.若两家及以上供应商最终评审得分相同，则按“价格部分”得分由高到低顺序排列；若价格得分仍相同，则按“技术及服务部分”得分由高到低顺序排列。</w:t>
      </w:r>
    </w:p>
    <w:p w14:paraId="628DE482">
      <w:pPr>
        <w:pStyle w:val="13"/>
        <w:spacing w:line="360" w:lineRule="auto"/>
        <w:ind w:firstLineChars="200"/>
      </w:pPr>
      <w:r>
        <w:rPr>
          <w:rFonts w:ascii="仿宋_GB2312" w:hAnsi="仿宋_GB2312" w:eastAsia="仿宋_GB2312" w:cs="仿宋_GB2312"/>
          <w:b/>
          <w:color w:val="000000"/>
          <w:sz w:val="28"/>
        </w:rPr>
        <w:t>第八条 其他规定</w:t>
      </w:r>
    </w:p>
    <w:p w14:paraId="19B10E7F">
      <w:pPr>
        <w:pStyle w:val="13"/>
        <w:spacing w:line="360" w:lineRule="auto"/>
        <w:ind w:firstLineChars="200"/>
      </w:pPr>
      <w:r>
        <w:rPr>
          <w:rFonts w:ascii="仿宋_GB2312" w:hAnsi="仿宋_GB2312" w:eastAsia="仿宋_GB2312" w:cs="仿宋_GB2312"/>
          <w:color w:val="000000"/>
          <w:sz w:val="28"/>
        </w:rPr>
        <w:t>1.评审过程中如遇本评审标准未明确规定的特殊情形，应由评审委员会根据政府采购法律法规及本评审标准所确立的原则集体讨论决定。该决定不得违反法律法规的强制性规定，不得对本评审标准已明确的内容进行实质性修改，且不得对任何供应商构成《中华人民共和国政府采购法实施条例》第二十条所禁止的差别待遇或者歧视待遇。</w:t>
      </w:r>
    </w:p>
    <w:p w14:paraId="4BF38A65">
      <w:pPr>
        <w:pStyle w:val="13"/>
        <w:spacing w:line="360" w:lineRule="auto"/>
        <w:ind w:firstLineChars="200"/>
      </w:pPr>
      <w:r>
        <w:rPr>
          <w:rFonts w:ascii="仿宋_GB2312" w:hAnsi="仿宋_GB2312" w:eastAsia="仿宋_GB2312" w:cs="仿宋_GB2312"/>
          <w:color w:val="000000"/>
          <w:sz w:val="28"/>
        </w:rPr>
        <w:t>2.本评审标准由采购人云南省渔业科学研究院负责解释。</w:t>
      </w:r>
    </w:p>
    <w:p w14:paraId="59E96DE1">
      <w:pPr>
        <w:pStyle w:val="13"/>
        <w:spacing w:line="360" w:lineRule="auto"/>
        <w:ind w:firstLineChars="200"/>
      </w:pPr>
      <w:r>
        <w:rPr>
          <w:rFonts w:ascii="仿宋_GB2312" w:hAnsi="仿宋_GB2312" w:eastAsia="仿宋_GB2312" w:cs="仿宋_GB2312"/>
          <w:color w:val="000000"/>
          <w:sz w:val="28"/>
        </w:rPr>
        <w:t>3.本评审标准作为本项目采购文件的组成部分，与采购文件具有同等法律效力。</w:t>
      </w:r>
    </w:p>
    <w:p w14:paraId="4AA0FBC3">
      <w:pPr>
        <w:pStyle w:val="13"/>
        <w:spacing w:line="360" w:lineRule="auto"/>
        <w:ind w:firstLineChars="200"/>
        <w:rPr>
          <w:rFonts w:ascii="仿宋_GB2312" w:hAnsi="仿宋_GB2312" w:eastAsia="仿宋_GB2312" w:cs="仿宋_GB2312"/>
          <w:color w:val="000000"/>
          <w:sz w:val="28"/>
        </w:rPr>
      </w:pPr>
      <w:r>
        <w:rPr>
          <w:rFonts w:ascii="仿宋_GB2312" w:hAnsi="仿宋_GB2312" w:eastAsia="仿宋_GB2312" w:cs="仿宋_GB2312"/>
          <w:color w:val="000000"/>
          <w:sz w:val="28"/>
        </w:rPr>
        <w:t>4.供应商认为采购文件、采购过程和中标、成交结果使自己的权益受到损害的，</w:t>
      </w:r>
      <w:r>
        <w:rPr>
          <w:rFonts w:hint="eastAsia" w:cs="仿宋_GB2312"/>
          <w:color w:val="000000"/>
          <w:sz w:val="28"/>
          <w:lang w:val="en-US" w:eastAsia="zh-CN"/>
        </w:rPr>
        <w:t>有权</w:t>
      </w:r>
      <w:r>
        <w:rPr>
          <w:rFonts w:ascii="仿宋_GB2312" w:hAnsi="仿宋_GB2312" w:eastAsia="仿宋_GB2312" w:cs="仿宋_GB2312"/>
          <w:color w:val="000000"/>
          <w:sz w:val="28"/>
        </w:rPr>
        <w:t>根据《中华人民共和国政府采购法》第五十二条之规定，在知道或者应知其权益受到损害之日起七个工作日内，以书面形式向采购人提出质疑。</w:t>
      </w:r>
    </w:p>
    <w:p w14:paraId="53FEB503">
      <w:pPr>
        <w:pStyle w:val="13"/>
        <w:spacing w:line="360" w:lineRule="auto"/>
        <w:ind w:firstLine="3935" w:firstLineChars="1400"/>
      </w:pPr>
      <w:r>
        <w:rPr>
          <w:rFonts w:ascii="仿宋_GB2312" w:hAnsi="仿宋_GB2312" w:eastAsia="仿宋_GB2312" w:cs="仿宋_GB2312"/>
          <w:b/>
          <w:color w:val="000000"/>
          <w:sz w:val="28"/>
        </w:rPr>
        <w:t>云南省渔业科学研究院</w:t>
      </w:r>
    </w:p>
    <w:p w14:paraId="1DE4EA07">
      <w:pPr>
        <w:pStyle w:val="13"/>
        <w:spacing w:line="360" w:lineRule="auto"/>
        <w:ind w:firstLine="4498" w:firstLineChars="1600"/>
        <w:rPr>
          <w:rFonts w:hint="eastAsia" w:ascii="方正仿宋_GB2312" w:hAnsi="方正仿宋_GB2312" w:eastAsia="方正仿宋_GB2312" w:cs="方正仿宋_GB2312"/>
          <w:color w:val="auto"/>
          <w:sz w:val="28"/>
          <w:szCs w:val="28"/>
          <w:lang w:eastAsia="zh-CN"/>
        </w:rPr>
      </w:pPr>
      <w:r>
        <w:rPr>
          <w:rFonts w:ascii="仿宋_GB2312" w:hAnsi="仿宋_GB2312" w:eastAsia="仿宋_GB2312" w:cs="仿宋_GB2312"/>
          <w:b/>
          <w:color w:val="000000"/>
          <w:sz w:val="28"/>
        </w:rPr>
        <w:t>2026年</w:t>
      </w:r>
      <w:r>
        <w:rPr>
          <w:rFonts w:hint="eastAsia" w:cs="仿宋_GB2312"/>
          <w:b/>
          <w:color w:val="000000"/>
          <w:sz w:val="28"/>
          <w:lang w:val="en-US" w:eastAsia="zh-CN"/>
        </w:rPr>
        <w:t>7</w:t>
      </w:r>
      <w:r>
        <w:rPr>
          <w:rFonts w:ascii="仿宋_GB2312" w:hAnsi="仿宋_GB2312" w:eastAsia="仿宋_GB2312" w:cs="仿宋_GB2312"/>
          <w:b/>
          <w:color w:val="000000"/>
          <w:sz w:val="28"/>
        </w:rPr>
        <w:t>月</w:t>
      </w:r>
      <w:r>
        <w:rPr>
          <w:rFonts w:hint="eastAsia" w:cs="仿宋_GB2312"/>
          <w:b/>
          <w:color w:val="000000"/>
          <w:sz w:val="28"/>
          <w:lang w:val="en-US" w:eastAsia="zh-CN"/>
        </w:rPr>
        <w:t>31</w:t>
      </w:r>
      <w:r>
        <w:rPr>
          <w:rFonts w:ascii="仿宋_GB2312" w:hAnsi="仿宋_GB2312" w:eastAsia="仿宋_GB2312" w:cs="仿宋_GB2312"/>
          <w:b/>
          <w:color w:val="000000"/>
          <w:sz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3D3B1E8-8C91-4110-9B7F-7C9CDD6C359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2" w:fontKey="{1872558B-FE84-47D6-B472-903267C837CE}"/>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DFCFAD28-16D2-4336-A180-D9D62305EAC7}"/>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WPSEMBED1">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jYTVmNmZhYjUxNzAxNjVmNzM2M2UzNjg0MmZjMWMifQ=="/>
  </w:docVars>
  <w:rsids>
    <w:rsidRoot w:val="00000000"/>
    <w:rsid w:val="017F4C2A"/>
    <w:rsid w:val="02A3658D"/>
    <w:rsid w:val="0A1C1022"/>
    <w:rsid w:val="0E4137B5"/>
    <w:rsid w:val="1A92045C"/>
    <w:rsid w:val="288146EA"/>
    <w:rsid w:val="28822537"/>
    <w:rsid w:val="316C761C"/>
    <w:rsid w:val="32994A42"/>
    <w:rsid w:val="3E617109"/>
    <w:rsid w:val="43A81A18"/>
    <w:rsid w:val="494D4358"/>
    <w:rsid w:val="4AD11A9E"/>
    <w:rsid w:val="4B611D21"/>
    <w:rsid w:val="55F30887"/>
    <w:rsid w:val="61BA4B90"/>
    <w:rsid w:val="6E5D8341"/>
    <w:rsid w:val="70EB10C9"/>
    <w:rsid w:val="71C50EB0"/>
    <w:rsid w:val="7D09340C"/>
    <w:rsid w:val="7E7F7AC5"/>
    <w:rsid w:val="7F9D3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line="400" w:lineRule="exact"/>
      <w:jc w:val="center"/>
      <w:outlineLvl w:val="1"/>
    </w:pPr>
    <w:rPr>
      <w:rFonts w:ascii="Arial" w:hAnsi="Arial"/>
      <w:b/>
      <w:kern w:val="0"/>
      <w:sz w:val="3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qFormat/>
    <w:uiPriority w:val="0"/>
    <w:pPr>
      <w:adjustRightInd w:val="0"/>
      <w:spacing w:line="440" w:lineRule="exact"/>
    </w:pPr>
    <w:rPr>
      <w:rFonts w:ascii="宋体" w:hAnsi="宋体"/>
      <w:b/>
      <w:color w:val="000000"/>
      <w:sz w:val="24"/>
    </w:rPr>
  </w:style>
  <w:style w:type="paragraph" w:styleId="5">
    <w:name w:val="Date"/>
    <w:basedOn w:val="1"/>
    <w:next w:val="1"/>
    <w:qFormat/>
    <w:uiPriority w:val="0"/>
    <w:pPr>
      <w:ind w:left="100" w:leftChars="2500"/>
    </w:pPr>
    <w:rPr>
      <w:rFonts w:ascii="宋体"/>
      <w:kern w:val="0"/>
      <w:sz w:val="24"/>
    </w:rPr>
  </w:style>
  <w:style w:type="paragraph" w:styleId="6">
    <w:name w:val="Body Text Indent"/>
    <w:basedOn w:val="1"/>
    <w:qFormat/>
    <w:uiPriority w:val="0"/>
    <w:pPr>
      <w:spacing w:line="200" w:lineRule="exact"/>
      <w:ind w:firstLine="301"/>
    </w:pPr>
    <w:rPr>
      <w:rFonts w:ascii="宋体"/>
      <w:spacing w:val="-4"/>
      <w:sz w:val="18"/>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6"/>
    <w:unhideWhenUsed/>
    <w:qFormat/>
    <w:uiPriority w:val="99"/>
    <w:pPr>
      <w:spacing w:after="120" w:line="240" w:lineRule="auto"/>
      <w:ind w:left="420" w:leftChars="200" w:firstLine="420" w:firstLineChars="200"/>
    </w:pPr>
    <w:rPr>
      <w:sz w:val="21"/>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null5"/>
    <w:hidden/>
    <w:qFormat/>
    <w:uiPriority w:val="0"/>
    <w:rPr>
      <w:rFonts w:hint="eastAsia" w:ascii="仿宋_GB2312" w:hAnsi="仿宋_GB2312" w:eastAsia="仿宋_GB2312" w:cs="仿宋_GB2312"/>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2474</Words>
  <Characters>2523</Characters>
  <Lines>0</Lines>
  <Paragraphs>0</Paragraphs>
  <TotalTime>6</TotalTime>
  <ScaleCrop>false</ScaleCrop>
  <LinksUpToDate>false</LinksUpToDate>
  <CharactersWithSpaces>2532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2025-04-07T22:33:00Z</dcterms:created>
  <dc:creator>赵静霞</dc:creator>
  <cp:lastModifiedBy>zyh</cp:lastModifiedBy>
  <cp:lastPrinted>2026-04-29T19:24:00Z</cp:lastPrinted>
  <dcterms:modified xsi:type="dcterms:W3CDTF">2026-07-31T09:45:12Z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B916AA4B13964D3CAA431362DC683B72_13</vt:lpwstr>
  </property>
  <property fmtid="{D5CDD505-2E9C-101B-9397-08002B2CF9AE}" pid="4" name="KSOTemplateDocerSaveRecord">
    <vt:lpwstr>eyJoZGlkIjoiMzEwNTM5NzYwMDRjMzkwZTVkZjY2ODkwMGIxNGU0OTUiLCJ1c2VySWQiOiI1NzkyMTIwNDkifQ==</vt:lpwstr>
  </property>
</Properties>
</file>