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98398">
      <w:pPr>
        <w:pStyle w:val="2"/>
        <w:ind w:firstLine="0" w:firstLineChars="0"/>
        <w:rPr>
          <w:rFonts w:hint="default" w:asciiTheme="minorEastAsia" w:hAnsiTheme="minorEastAsia" w:eastAsiaTheme="minorEastAsia"/>
          <w:color w:val="auto"/>
          <w:lang w:val="en-US" w:eastAsia="zh-CN"/>
        </w:rPr>
      </w:pPr>
      <w:bookmarkStart w:id="4" w:name="_GoBack"/>
      <w:bookmarkEnd w:id="4"/>
      <w:bookmarkStart w:id="0" w:name="heading_17"/>
      <w:r>
        <w:rPr>
          <w:rFonts w:hint="eastAsia" w:asciiTheme="minorEastAsia" w:hAnsiTheme="minorEastAsia" w:eastAsiaTheme="minorEastAsia"/>
          <w:color w:val="auto"/>
          <w:lang w:eastAsia="zh-CN"/>
        </w:rPr>
        <w:t>附件</w:t>
      </w:r>
      <w:r>
        <w:rPr>
          <w:rFonts w:hint="eastAsia" w:asciiTheme="minorEastAsia" w:hAnsiTheme="minorEastAsia" w:eastAsiaTheme="minorEastAsia"/>
          <w:color w:val="auto"/>
          <w:lang w:val="en-US" w:eastAsia="zh-CN"/>
        </w:rPr>
        <w:t>1</w:t>
      </w:r>
    </w:p>
    <w:p w14:paraId="3DE6FF9C">
      <w:pPr>
        <w:pStyle w:val="2"/>
        <w:ind w:firstLine="0"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一、设备基本要求</w:t>
      </w:r>
      <w:bookmarkEnd w:id="0"/>
    </w:p>
    <w:p w14:paraId="61E8D39E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设备类型：全新原厂</w:t>
      </w:r>
      <w:r>
        <w:rPr>
          <w:rFonts w:asciiTheme="minorEastAsia" w:hAnsiTheme="minorEastAsia" w:eastAsiaTheme="minorEastAsia"/>
          <w:b/>
          <w:color w:val="auto"/>
        </w:rPr>
        <w:t>电动平衡重式叉车</w:t>
      </w:r>
      <w:r>
        <w:rPr>
          <w:rFonts w:asciiTheme="minorEastAsia" w:hAnsiTheme="minorEastAsia" w:eastAsiaTheme="minorEastAsia"/>
          <w:color w:val="auto"/>
        </w:rPr>
        <w:t>，锂电池可选，严禁翻新、改装、二手设备；</w:t>
      </w:r>
    </w:p>
    <w:p w14:paraId="3C0B4D55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额定载重：3 吨；</w:t>
      </w:r>
    </w:p>
    <w:p w14:paraId="18A2962A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标准起升高度：≥3000mm；</w:t>
      </w:r>
    </w:p>
    <w:p w14:paraId="30678C65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驱动形式：全电动，交流驱动电机，噪音低、零尾气排放，适配基地室内、露天堆场作业；</w:t>
      </w:r>
    </w:p>
    <w:p w14:paraId="0F81CEF1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电池与充电配置：配套原厂大容量动力电池，匹配智能全自动充电机，充满自停，具备过充、过温、短路保护功能；</w:t>
      </w:r>
    </w:p>
    <w:p w14:paraId="01ECBBA3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整车标配装置：一体式护顶架、安全带、防滑减震座椅、标准货叉、液压侧移（可选加分）、前后照明、倒车蜂鸣报警、多功能液晶仪表（显示电量、故障代码、运行时长）；</w:t>
      </w:r>
    </w:p>
    <w:p w14:paraId="71E705A6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制动系统：液压行车制动 + 电磁驻车制动，制动灵敏可靠；</w:t>
      </w:r>
    </w:p>
    <w:p w14:paraId="46D09C4E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使用场景：适配砂石路面、青贮堆场、农资仓库，满足草料、农资、设备周转转运；</w:t>
      </w:r>
    </w:p>
    <w:p w14:paraId="4C093593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续航要求：满载连续工作不低于 6 小时，满足基地单日作业需求。</w:t>
      </w:r>
    </w:p>
    <w:p w14:paraId="2218DB73">
      <w:pPr>
        <w:pStyle w:val="11"/>
        <w:tabs>
          <w:tab w:val="left" w:pos="975"/>
        </w:tabs>
        <w:ind w:firstLine="0" w:firstLineChars="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二、设备参考详细技术参数</w:t>
      </w:r>
    </w:p>
    <w:tbl>
      <w:tblPr>
        <w:tblStyle w:val="16"/>
        <w:tblW w:w="8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37"/>
        <w:gridCol w:w="2422"/>
        <w:gridCol w:w="3402"/>
      </w:tblGrid>
      <w:tr w14:paraId="0271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DD2AD7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型号</w:t>
            </w:r>
          </w:p>
        </w:tc>
        <w:tc>
          <w:tcPr>
            <w:tcW w:w="2422" w:type="dxa"/>
            <w:noWrap/>
            <w:vAlign w:val="center"/>
          </w:tcPr>
          <w:p w14:paraId="265519A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402" w:type="dxa"/>
            <w:noWrap/>
            <w:vAlign w:val="center"/>
          </w:tcPr>
          <w:p w14:paraId="29C4EA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值</w:t>
            </w:r>
          </w:p>
        </w:tc>
      </w:tr>
      <w:tr w14:paraId="480E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997291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额定载荷</w:t>
            </w:r>
          </w:p>
        </w:tc>
        <w:tc>
          <w:tcPr>
            <w:tcW w:w="2422" w:type="dxa"/>
            <w:noWrap/>
            <w:vAlign w:val="center"/>
          </w:tcPr>
          <w:p w14:paraId="670F957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Kg</w:t>
            </w:r>
          </w:p>
        </w:tc>
        <w:tc>
          <w:tcPr>
            <w:tcW w:w="3402" w:type="dxa"/>
            <w:noWrap/>
            <w:vAlign w:val="center"/>
          </w:tcPr>
          <w:p w14:paraId="5BE7009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3000</w:t>
            </w:r>
          </w:p>
        </w:tc>
      </w:tr>
      <w:tr w14:paraId="0B8C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D2138A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载荷中心距</w:t>
            </w:r>
          </w:p>
        </w:tc>
        <w:tc>
          <w:tcPr>
            <w:tcW w:w="2422" w:type="dxa"/>
            <w:noWrap/>
            <w:vAlign w:val="center"/>
          </w:tcPr>
          <w:p w14:paraId="5E8793F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124566F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500</w:t>
            </w:r>
          </w:p>
        </w:tc>
      </w:tr>
      <w:tr w14:paraId="4273A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9176DB8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最大起升高度</w:t>
            </w:r>
          </w:p>
        </w:tc>
        <w:tc>
          <w:tcPr>
            <w:tcW w:w="2422" w:type="dxa"/>
            <w:noWrap/>
            <w:vAlign w:val="center"/>
          </w:tcPr>
          <w:p w14:paraId="52D8F46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823DA1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3000</w:t>
            </w:r>
          </w:p>
        </w:tc>
      </w:tr>
      <w:tr w14:paraId="6FD4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A3BB12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自由起升高度</w:t>
            </w:r>
          </w:p>
        </w:tc>
        <w:tc>
          <w:tcPr>
            <w:tcW w:w="2422" w:type="dxa"/>
            <w:noWrap/>
            <w:vAlign w:val="center"/>
          </w:tcPr>
          <w:p w14:paraId="0F09055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81E5CA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145</w:t>
            </w:r>
          </w:p>
        </w:tc>
      </w:tr>
      <w:tr w14:paraId="5FE4D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1D99C8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货叉长度（标配）</w:t>
            </w:r>
          </w:p>
        </w:tc>
        <w:tc>
          <w:tcPr>
            <w:tcW w:w="2422" w:type="dxa"/>
            <w:noWrap/>
            <w:vAlign w:val="center"/>
          </w:tcPr>
          <w:p w14:paraId="5456A44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1AE8612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1070</w:t>
            </w:r>
          </w:p>
        </w:tc>
      </w:tr>
      <w:tr w14:paraId="0976C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8F5E28E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门架倾角（前/后）</w:t>
            </w:r>
          </w:p>
        </w:tc>
        <w:tc>
          <w:tcPr>
            <w:tcW w:w="2422" w:type="dxa"/>
            <w:noWrap/>
            <w:vAlign w:val="center"/>
          </w:tcPr>
          <w:p w14:paraId="3C01564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deg</w:t>
            </w:r>
          </w:p>
        </w:tc>
        <w:tc>
          <w:tcPr>
            <w:tcW w:w="3402" w:type="dxa"/>
            <w:noWrap/>
            <w:vAlign w:val="center"/>
          </w:tcPr>
          <w:p w14:paraId="1A56A7F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6/12</w:t>
            </w:r>
          </w:p>
        </w:tc>
      </w:tr>
      <w:tr w14:paraId="62E01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2C2FB55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总长（至叉背）</w:t>
            </w:r>
          </w:p>
        </w:tc>
        <w:tc>
          <w:tcPr>
            <w:tcW w:w="2422" w:type="dxa"/>
            <w:noWrap/>
            <w:vAlign w:val="center"/>
          </w:tcPr>
          <w:p w14:paraId="3D4BDBC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223B956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2705</w:t>
            </w:r>
          </w:p>
        </w:tc>
      </w:tr>
      <w:tr w14:paraId="22C37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4ACC82D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外形尺寸</w:t>
            </w:r>
          </w:p>
        </w:tc>
      </w:tr>
      <w:tr w14:paraId="43D47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FD0031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总宽</w:t>
            </w:r>
          </w:p>
        </w:tc>
        <w:tc>
          <w:tcPr>
            <w:tcW w:w="2422" w:type="dxa"/>
            <w:noWrap/>
            <w:vAlign w:val="center"/>
          </w:tcPr>
          <w:p w14:paraId="2A1399B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4CFDE8B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1226</w:t>
            </w:r>
          </w:p>
        </w:tc>
      </w:tr>
      <w:tr w14:paraId="6C4C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9474F3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门架不起升高度</w:t>
            </w:r>
          </w:p>
        </w:tc>
        <w:tc>
          <w:tcPr>
            <w:tcW w:w="2422" w:type="dxa"/>
            <w:noWrap/>
            <w:vAlign w:val="center"/>
          </w:tcPr>
          <w:p w14:paraId="4FB5DD2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0EF1C63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2055</w:t>
            </w:r>
          </w:p>
        </w:tc>
      </w:tr>
      <w:tr w14:paraId="2374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8B77E87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门架起升时全高</w:t>
            </w:r>
          </w:p>
        </w:tc>
        <w:tc>
          <w:tcPr>
            <w:tcW w:w="2422" w:type="dxa"/>
            <w:noWrap/>
            <w:vAlign w:val="center"/>
          </w:tcPr>
          <w:p w14:paraId="127DD3B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002EEE3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4110</w:t>
            </w:r>
          </w:p>
        </w:tc>
      </w:tr>
      <w:tr w14:paraId="18666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94AFE8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安全架高度</w:t>
            </w:r>
          </w:p>
        </w:tc>
        <w:tc>
          <w:tcPr>
            <w:tcW w:w="2422" w:type="dxa"/>
            <w:noWrap/>
            <w:vAlign w:val="center"/>
          </w:tcPr>
          <w:p w14:paraId="5D143A2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C08606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2125</w:t>
            </w:r>
          </w:p>
        </w:tc>
      </w:tr>
      <w:tr w14:paraId="0CD1A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2B2A2E5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最小转弯半径</w:t>
            </w:r>
          </w:p>
        </w:tc>
        <w:tc>
          <w:tcPr>
            <w:tcW w:w="2422" w:type="dxa"/>
            <w:noWrap/>
            <w:vAlign w:val="center"/>
          </w:tcPr>
          <w:p w14:paraId="0C4056B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1B4A4F5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2440</w:t>
            </w:r>
          </w:p>
        </w:tc>
      </w:tr>
      <w:tr w14:paraId="09CF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1AC262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前悬距</w:t>
            </w:r>
          </w:p>
        </w:tc>
        <w:tc>
          <w:tcPr>
            <w:tcW w:w="2422" w:type="dxa"/>
            <w:noWrap/>
            <w:vAlign w:val="center"/>
          </w:tcPr>
          <w:p w14:paraId="2440DCF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76ADDE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485</w:t>
            </w:r>
          </w:p>
        </w:tc>
      </w:tr>
      <w:tr w14:paraId="5EC2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06081747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轮距（前轮）</w:t>
            </w:r>
          </w:p>
        </w:tc>
        <w:tc>
          <w:tcPr>
            <w:tcW w:w="2422" w:type="dxa"/>
            <w:noWrap/>
            <w:vAlign w:val="center"/>
          </w:tcPr>
          <w:p w14:paraId="7F71A74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462A45C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1000</w:t>
            </w:r>
          </w:p>
        </w:tc>
      </w:tr>
      <w:tr w14:paraId="7257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CBB710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轮距（后轮）</w:t>
            </w:r>
          </w:p>
        </w:tc>
        <w:tc>
          <w:tcPr>
            <w:tcW w:w="2422" w:type="dxa"/>
            <w:noWrap/>
            <w:vAlign w:val="center"/>
          </w:tcPr>
          <w:p w14:paraId="6DEB5AA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9028FE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980</w:t>
            </w:r>
          </w:p>
        </w:tc>
      </w:tr>
      <w:tr w14:paraId="10EF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076591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最小离地间隙</w:t>
            </w:r>
          </w:p>
        </w:tc>
        <w:tc>
          <w:tcPr>
            <w:tcW w:w="2422" w:type="dxa"/>
            <w:noWrap/>
            <w:vAlign w:val="center"/>
          </w:tcPr>
          <w:p w14:paraId="47457FB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50420CB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165</w:t>
            </w:r>
          </w:p>
        </w:tc>
      </w:tr>
      <w:tr w14:paraId="6A36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003EBC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轴距</w:t>
            </w:r>
          </w:p>
        </w:tc>
        <w:tc>
          <w:tcPr>
            <w:tcW w:w="2422" w:type="dxa"/>
            <w:noWrap/>
            <w:vAlign w:val="center"/>
          </w:tcPr>
          <w:p w14:paraId="4179A46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2A6206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1760</w:t>
            </w:r>
          </w:p>
        </w:tc>
      </w:tr>
      <w:tr w14:paraId="7D7E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F2C0233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货叉间距</w:t>
            </w:r>
          </w:p>
        </w:tc>
        <w:tc>
          <w:tcPr>
            <w:tcW w:w="2422" w:type="dxa"/>
            <w:noWrap/>
            <w:vAlign w:val="center"/>
          </w:tcPr>
          <w:p w14:paraId="665D384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21455FF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252-1092</w:t>
            </w:r>
          </w:p>
        </w:tc>
      </w:tr>
      <w:tr w14:paraId="383C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0436753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直角堆垛通道宽度</w:t>
            </w:r>
          </w:p>
        </w:tc>
      </w:tr>
      <w:tr w14:paraId="5F2F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7C8EC8F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1000×1200（横向）</w:t>
            </w:r>
          </w:p>
        </w:tc>
        <w:tc>
          <w:tcPr>
            <w:tcW w:w="2422" w:type="dxa"/>
            <w:noWrap/>
            <w:vAlign w:val="center"/>
          </w:tcPr>
          <w:p w14:paraId="0CC1932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937727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4195</w:t>
            </w:r>
          </w:p>
        </w:tc>
      </w:tr>
      <w:tr w14:paraId="3A0B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6758AE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800×1200（纵向）</w:t>
            </w:r>
          </w:p>
        </w:tc>
        <w:tc>
          <w:tcPr>
            <w:tcW w:w="2422" w:type="dxa"/>
            <w:noWrap/>
            <w:vAlign w:val="center"/>
          </w:tcPr>
          <w:p w14:paraId="565E5AB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CCC05E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4325</w:t>
            </w:r>
          </w:p>
        </w:tc>
      </w:tr>
      <w:tr w14:paraId="3649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6B5851D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速度</w:t>
            </w:r>
          </w:p>
        </w:tc>
      </w:tr>
      <w:tr w14:paraId="0120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7C4F97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行走（空载/满载）</w:t>
            </w:r>
          </w:p>
        </w:tc>
        <w:tc>
          <w:tcPr>
            <w:tcW w:w="2422" w:type="dxa"/>
            <w:noWrap/>
            <w:vAlign w:val="center"/>
          </w:tcPr>
          <w:p w14:paraId="1AA22A0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Km/h</w:t>
            </w:r>
          </w:p>
        </w:tc>
        <w:tc>
          <w:tcPr>
            <w:tcW w:w="3402" w:type="dxa"/>
            <w:noWrap/>
            <w:vAlign w:val="center"/>
          </w:tcPr>
          <w:p w14:paraId="5A3367C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18/17</w:t>
            </w:r>
          </w:p>
        </w:tc>
      </w:tr>
      <w:tr w14:paraId="08A5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49F8B5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起升（空载/满载）</w:t>
            </w:r>
          </w:p>
        </w:tc>
        <w:tc>
          <w:tcPr>
            <w:tcW w:w="2422" w:type="dxa"/>
            <w:noWrap/>
            <w:vAlign w:val="center"/>
          </w:tcPr>
          <w:p w14:paraId="57B0A10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mm/s</w:t>
            </w:r>
          </w:p>
        </w:tc>
        <w:tc>
          <w:tcPr>
            <w:tcW w:w="3402" w:type="dxa"/>
            <w:noWrap/>
            <w:vAlign w:val="center"/>
          </w:tcPr>
          <w:p w14:paraId="2E1F7A5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400/290</w:t>
            </w:r>
          </w:p>
        </w:tc>
      </w:tr>
      <w:tr w14:paraId="3644F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533E5C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最大爬坡度（空载/满载）</w:t>
            </w:r>
          </w:p>
        </w:tc>
        <w:tc>
          <w:tcPr>
            <w:tcW w:w="2422" w:type="dxa"/>
            <w:noWrap/>
            <w:vAlign w:val="center"/>
          </w:tcPr>
          <w:p w14:paraId="73021F6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3402" w:type="dxa"/>
            <w:noWrap/>
            <w:vAlign w:val="center"/>
          </w:tcPr>
          <w:p w14:paraId="337BFA7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25/18</w:t>
            </w:r>
          </w:p>
        </w:tc>
      </w:tr>
      <w:tr w14:paraId="6975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0E409B9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自重</w:t>
            </w:r>
          </w:p>
        </w:tc>
        <w:tc>
          <w:tcPr>
            <w:tcW w:w="2422" w:type="dxa"/>
            <w:noWrap/>
            <w:vAlign w:val="center"/>
          </w:tcPr>
          <w:p w14:paraId="5F9E36F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Kg</w:t>
            </w:r>
          </w:p>
        </w:tc>
        <w:tc>
          <w:tcPr>
            <w:tcW w:w="3402" w:type="dxa"/>
            <w:noWrap/>
            <w:vAlign w:val="center"/>
          </w:tcPr>
          <w:p w14:paraId="53AE86C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4180</w:t>
            </w:r>
          </w:p>
        </w:tc>
      </w:tr>
      <w:tr w14:paraId="2B97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582C03B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轮胎</w:t>
            </w:r>
          </w:p>
        </w:tc>
      </w:tr>
      <w:tr w14:paraId="206B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1F3746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轮胎（前轮）</w:t>
            </w:r>
          </w:p>
        </w:tc>
        <w:tc>
          <w:tcPr>
            <w:tcW w:w="2422" w:type="dxa"/>
            <w:noWrap/>
            <w:vAlign w:val="center"/>
          </w:tcPr>
          <w:p w14:paraId="53C4BBD3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noWrap/>
            <w:vAlign w:val="center"/>
          </w:tcPr>
          <w:p w14:paraId="3D6680E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28×9-15-14PR</w:t>
            </w:r>
          </w:p>
        </w:tc>
      </w:tr>
      <w:tr w14:paraId="1E38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9E40DB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轮胎（后轮）</w:t>
            </w:r>
          </w:p>
        </w:tc>
        <w:tc>
          <w:tcPr>
            <w:tcW w:w="2422" w:type="dxa"/>
            <w:noWrap/>
            <w:vAlign w:val="center"/>
          </w:tcPr>
          <w:p w14:paraId="1CEFE5C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noWrap/>
            <w:vAlign w:val="center"/>
          </w:tcPr>
          <w:p w14:paraId="3A4FB0A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6.5-10-10PR</w:t>
            </w:r>
          </w:p>
        </w:tc>
      </w:tr>
      <w:tr w14:paraId="50088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07D9F7E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电机</w:t>
            </w:r>
          </w:p>
        </w:tc>
      </w:tr>
      <w:tr w14:paraId="3584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7296782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电机（行走）</w:t>
            </w:r>
          </w:p>
        </w:tc>
        <w:tc>
          <w:tcPr>
            <w:tcW w:w="2422" w:type="dxa"/>
            <w:noWrap/>
            <w:vAlign w:val="center"/>
          </w:tcPr>
          <w:p w14:paraId="118B725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</w:t>
            </w:r>
          </w:p>
        </w:tc>
        <w:tc>
          <w:tcPr>
            <w:tcW w:w="3402" w:type="dxa"/>
            <w:noWrap/>
            <w:vAlign w:val="center"/>
          </w:tcPr>
          <w:p w14:paraId="2DAF34A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14:paraId="7ECF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9BAFFF8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电机（起升）</w:t>
            </w:r>
          </w:p>
        </w:tc>
        <w:tc>
          <w:tcPr>
            <w:tcW w:w="2422" w:type="dxa"/>
            <w:noWrap/>
            <w:vAlign w:val="center"/>
          </w:tcPr>
          <w:p w14:paraId="55FAA09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</w:t>
            </w:r>
          </w:p>
        </w:tc>
        <w:tc>
          <w:tcPr>
            <w:tcW w:w="3402" w:type="dxa"/>
            <w:noWrap/>
            <w:vAlign w:val="center"/>
          </w:tcPr>
          <w:p w14:paraId="0AEE9B7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22.6</w:t>
            </w:r>
          </w:p>
        </w:tc>
      </w:tr>
      <w:tr w14:paraId="777D2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0923950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控制器</w:t>
            </w:r>
          </w:p>
        </w:tc>
        <w:tc>
          <w:tcPr>
            <w:tcW w:w="5824" w:type="dxa"/>
            <w:gridSpan w:val="2"/>
            <w:noWrap/>
            <w:vAlign w:val="center"/>
          </w:tcPr>
          <w:p w14:paraId="2480AD1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海天（永磁）</w:t>
            </w:r>
          </w:p>
        </w:tc>
      </w:tr>
      <w:tr w14:paraId="7AD6D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169B85C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蓄电池</w:t>
            </w:r>
          </w:p>
        </w:tc>
        <w:tc>
          <w:tcPr>
            <w:tcW w:w="2422" w:type="dxa"/>
            <w:noWrap/>
            <w:vAlign w:val="center"/>
          </w:tcPr>
          <w:p w14:paraId="6766F34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V/Ah</w:t>
            </w:r>
          </w:p>
        </w:tc>
        <w:tc>
          <w:tcPr>
            <w:tcW w:w="3402" w:type="dxa"/>
            <w:noWrap/>
            <w:vAlign w:val="center"/>
          </w:tcPr>
          <w:p w14:paraId="73901DD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80/205</w:t>
            </w:r>
          </w:p>
        </w:tc>
      </w:tr>
      <w:tr w14:paraId="7B4B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1E562DE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工作压力</w:t>
            </w:r>
          </w:p>
        </w:tc>
        <w:tc>
          <w:tcPr>
            <w:tcW w:w="2422" w:type="dxa"/>
            <w:noWrap/>
            <w:vAlign w:val="center"/>
          </w:tcPr>
          <w:p w14:paraId="6B2CA43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Mpa</w:t>
            </w:r>
          </w:p>
        </w:tc>
        <w:tc>
          <w:tcPr>
            <w:tcW w:w="3402" w:type="dxa"/>
            <w:noWrap/>
            <w:vAlign w:val="center"/>
          </w:tcPr>
          <w:p w14:paraId="2AA4473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19.5</w:t>
            </w:r>
          </w:p>
        </w:tc>
      </w:tr>
      <w:tr w14:paraId="6CCD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2C41FB9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货叉调节范围外侧</w:t>
            </w:r>
          </w:p>
        </w:tc>
        <w:tc>
          <w:tcPr>
            <w:tcW w:w="2422" w:type="dxa"/>
            <w:noWrap/>
            <w:vAlign w:val="center"/>
          </w:tcPr>
          <w:p w14:paraId="7A5DE68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F61FA5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252-1092</w:t>
            </w:r>
          </w:p>
        </w:tc>
      </w:tr>
      <w:tr w14:paraId="1EF92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125EC08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下降速度（空载/满载）</w:t>
            </w:r>
          </w:p>
        </w:tc>
        <w:tc>
          <w:tcPr>
            <w:tcW w:w="2422" w:type="dxa"/>
            <w:noWrap/>
            <w:vAlign w:val="center"/>
          </w:tcPr>
          <w:p w14:paraId="580D4A5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mm/s</w:t>
            </w:r>
          </w:p>
        </w:tc>
        <w:tc>
          <w:tcPr>
            <w:tcW w:w="3402" w:type="dxa"/>
            <w:noWrap/>
            <w:vAlign w:val="center"/>
          </w:tcPr>
          <w:p w14:paraId="10EAE8F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≥300/≤500</w:t>
            </w:r>
          </w:p>
        </w:tc>
      </w:tr>
      <w:tr w14:paraId="428E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66F31F3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最大牵引力（空载/满载）</w:t>
            </w:r>
          </w:p>
        </w:tc>
        <w:tc>
          <w:tcPr>
            <w:tcW w:w="2422" w:type="dxa"/>
            <w:noWrap/>
            <w:vAlign w:val="center"/>
          </w:tcPr>
          <w:p w14:paraId="02DC2BC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KN</w:t>
            </w:r>
          </w:p>
        </w:tc>
        <w:tc>
          <w:tcPr>
            <w:tcW w:w="3402" w:type="dxa"/>
            <w:noWrap/>
            <w:vAlign w:val="center"/>
          </w:tcPr>
          <w:p w14:paraId="5388CF8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12/16</w:t>
            </w:r>
          </w:p>
        </w:tc>
      </w:tr>
    </w:tbl>
    <w:p w14:paraId="61D50D88">
      <w:pPr>
        <w:pStyle w:val="11"/>
        <w:tabs>
          <w:tab w:val="left" w:pos="975"/>
        </w:tabs>
        <w:ind w:firstLine="0" w:firstLineChars="0"/>
        <w:rPr>
          <w:rFonts w:hint="eastAsia" w:asciiTheme="minorEastAsia" w:hAnsiTheme="minorEastAsia" w:eastAsiaTheme="minorEastAsia"/>
          <w:color w:val="auto"/>
        </w:rPr>
      </w:pPr>
    </w:p>
    <w:p w14:paraId="18592F0F">
      <w:pPr>
        <w:pStyle w:val="2"/>
        <w:ind w:firstLine="0" w:firstLineChars="0"/>
        <w:rPr>
          <w:rFonts w:asciiTheme="minorEastAsia" w:hAnsiTheme="minorEastAsia" w:eastAsiaTheme="minorEastAsia"/>
          <w:color w:val="auto"/>
        </w:rPr>
      </w:pPr>
      <w:bookmarkStart w:id="1" w:name="heading_18"/>
      <w:r>
        <w:rPr>
          <w:rFonts w:hint="eastAsia" w:asciiTheme="minorEastAsia" w:hAnsiTheme="minorEastAsia" w:eastAsiaTheme="minorEastAsia"/>
          <w:color w:val="auto"/>
        </w:rPr>
        <w:t>三</w:t>
      </w:r>
      <w:r>
        <w:rPr>
          <w:rFonts w:asciiTheme="minorEastAsia" w:hAnsiTheme="minorEastAsia" w:eastAsiaTheme="minorEastAsia"/>
          <w:color w:val="auto"/>
        </w:rPr>
        <w:t>、质保硬性要求</w:t>
      </w:r>
      <w:bookmarkEnd w:id="1"/>
    </w:p>
    <w:p w14:paraId="306F0015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整车整机质保不少于 1 年或 1000 工作小时（先到为准）；</w:t>
      </w:r>
    </w:p>
    <w:p w14:paraId="2D62F0DC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动力电池质保不低于 2 年，质保期内容量衰减超过 20% 免费更换电池；</w:t>
      </w:r>
    </w:p>
    <w:p w14:paraId="47BEE97C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驱动电机、液压泵、控制器等核心电气部件质保不少于</w:t>
      </w:r>
      <w:r>
        <w:rPr>
          <w:rFonts w:hint="eastAsia" w:asciiTheme="minorEastAsia" w:hAnsiTheme="minorEastAsia" w:eastAsiaTheme="minorEastAsia"/>
          <w:color w:val="auto"/>
        </w:rPr>
        <w:t>1年</w:t>
      </w:r>
      <w:r>
        <w:rPr>
          <w:rFonts w:asciiTheme="minorEastAsia" w:hAnsiTheme="minorEastAsia" w:eastAsiaTheme="minorEastAsia"/>
          <w:color w:val="auto"/>
        </w:rPr>
        <w:t>；</w:t>
      </w:r>
    </w:p>
    <w:p w14:paraId="0210116B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质保期内非人为损坏零部件、电路故障全部免费上门维修、免费更换配件，无上门费、工时费。</w:t>
      </w:r>
    </w:p>
    <w:p w14:paraId="3D78E168">
      <w:pPr>
        <w:pStyle w:val="2"/>
        <w:ind w:firstLine="0" w:firstLineChars="0"/>
        <w:rPr>
          <w:rFonts w:asciiTheme="minorEastAsia" w:hAnsiTheme="minorEastAsia" w:eastAsiaTheme="minorEastAsia"/>
          <w:color w:val="auto"/>
        </w:rPr>
      </w:pPr>
      <w:bookmarkStart w:id="2" w:name="heading_19"/>
      <w:r>
        <w:rPr>
          <w:rFonts w:hint="eastAsia" w:asciiTheme="minorEastAsia" w:hAnsiTheme="minorEastAsia" w:eastAsiaTheme="minorEastAsia"/>
          <w:color w:val="auto"/>
        </w:rPr>
        <w:t>四</w:t>
      </w:r>
      <w:r>
        <w:rPr>
          <w:rFonts w:asciiTheme="minorEastAsia" w:hAnsiTheme="minorEastAsia" w:eastAsiaTheme="minorEastAsia"/>
          <w:color w:val="auto"/>
        </w:rPr>
        <w:t>、供货及服务要求</w:t>
      </w:r>
      <w:bookmarkEnd w:id="2"/>
    </w:p>
    <w:p w14:paraId="616C1AB7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随车交付全套原厂资料：产品合格证、出厂检测报告、整车使用说明书、电池维护手册、充电机说明书、原厂配件清单；</w:t>
      </w:r>
    </w:p>
    <w:p w14:paraId="0B49B759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免费送货至马龙马鸣示范基地，完成卸货、整车调试、电池激活校准；</w:t>
      </w:r>
    </w:p>
    <w:p w14:paraId="260B9525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现场对采购人操作人员开展免费培训：设备操作、电池日常养护、简单故障排查、安全规范；</w:t>
      </w:r>
    </w:p>
    <w:p w14:paraId="21B25CBB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售后响应：云南省内设备故障报修后 24 小时内工程师到场维修；终身供应原厂零配件，质保期满后零配件仅收取成本价。</w:t>
      </w:r>
      <w:bookmarkStart w:id="3" w:name="heading_20"/>
    </w:p>
    <w:p w14:paraId="3F53D291">
      <w:pPr>
        <w:pStyle w:val="11"/>
        <w:ind w:firstLine="0"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四、验收标准</w:t>
      </w:r>
      <w:bookmarkEnd w:id="3"/>
    </w:p>
    <w:p w14:paraId="0DC1D7D9">
      <w:pPr>
        <w:pStyle w:val="11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设备到场后双方共同开箱核验品牌型号、载重、电池容量、配置配件，空载、满载连续试运行 2 小时，所有电气、液压、制动、升降功能正常，参数符合招标文件要求及国家电动叉车 GB/T 标准方可验收；验收不合格，供应商 7 日内无条件更换全新整机，并承担全部误工、运输损失。</w:t>
      </w:r>
    </w:p>
    <w:p w14:paraId="08EA4C64">
      <w:pPr>
        <w:pStyle w:val="11"/>
        <w:ind w:left="0" w:leftChars="0" w:firstLine="0" w:firstLineChars="0"/>
        <w:rPr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E8465AE-3867-4267-9E85-965CC69D3720}"/>
  </w:font>
  <w:font w:name="方正仿宋_GB18030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___WRD_EMBED_SUB_1356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A151B">
    <w:pPr>
      <w:ind w:firstLine="4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E115D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3982A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7C3C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22373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D2D2B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CE3BD6"/>
    <w:multiLevelType w:val="multilevel"/>
    <w:tmpl w:val="36CE3BD6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FE50ED5"/>
    <w:multiLevelType w:val="multilevel"/>
    <w:tmpl w:val="5FE50ED5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E000D62"/>
    <w:multiLevelType w:val="multilevel"/>
    <w:tmpl w:val="7E000D62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15"/>
    <w:rsid w:val="000663E9"/>
    <w:rsid w:val="0009596B"/>
    <w:rsid w:val="00327215"/>
    <w:rsid w:val="003F4698"/>
    <w:rsid w:val="00427658"/>
    <w:rsid w:val="005F4796"/>
    <w:rsid w:val="0090448A"/>
    <w:rsid w:val="00932394"/>
    <w:rsid w:val="009663DA"/>
    <w:rsid w:val="00C40798"/>
    <w:rsid w:val="00F95255"/>
    <w:rsid w:val="00FD7CAE"/>
    <w:rsid w:val="059705B7"/>
    <w:rsid w:val="06106EB3"/>
    <w:rsid w:val="080E7E83"/>
    <w:rsid w:val="0EC73137"/>
    <w:rsid w:val="13FC362C"/>
    <w:rsid w:val="1C067DAD"/>
    <w:rsid w:val="25761B3F"/>
    <w:rsid w:val="281415D4"/>
    <w:rsid w:val="31F75DB5"/>
    <w:rsid w:val="355E2212"/>
    <w:rsid w:val="35975B41"/>
    <w:rsid w:val="4BF316AA"/>
    <w:rsid w:val="4CE35B31"/>
    <w:rsid w:val="578429F3"/>
    <w:rsid w:val="5D250C59"/>
    <w:rsid w:val="68621E2A"/>
    <w:rsid w:val="78D002E7"/>
    <w:rsid w:val="7A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line="520" w:lineRule="exact"/>
      <w:ind w:firstLine="600" w:firstLineChars="200"/>
      <w:jc w:val="both"/>
      <w:outlineLvl w:val="0"/>
    </w:pPr>
    <w:rPr>
      <w:rFonts w:ascii="Times New Roman" w:hAnsi="Times New Roman" w:eastAsia="方正仿宋_GB18030" w:cs="Times New Roman"/>
      <w:kern w:val="2"/>
      <w:sz w:val="30"/>
      <w:szCs w:val="30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widowControl w:val="0"/>
      <w:spacing w:line="520" w:lineRule="exact"/>
      <w:ind w:firstLine="600" w:firstLineChars="200"/>
      <w:jc w:val="both"/>
      <w:outlineLvl w:val="1"/>
    </w:pPr>
    <w:rPr>
      <w:rFonts w:ascii="Times New Roman" w:hAnsi="Times New Roman" w:eastAsia="方正仿宋_GB18030" w:cs="Times New Roman"/>
      <w:kern w:val="2"/>
      <w:sz w:val="30"/>
      <w:szCs w:val="30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widowControl w:val="0"/>
      <w:spacing w:after="120" w:line="360" w:lineRule="auto"/>
      <w:outlineLvl w:val="2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widowControl w:val="0"/>
      <w:spacing w:after="120" w:line="360" w:lineRule="auto"/>
      <w:outlineLvl w:val="3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widowControl w:val="0"/>
      <w:spacing w:after="120" w:line="440" w:lineRule="exact"/>
      <w:outlineLvl w:val="4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widowControl w:val="0"/>
      <w:spacing w:after="120" w:line="360" w:lineRule="auto"/>
      <w:outlineLvl w:val="5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widowControl w:val="0"/>
      <w:spacing w:after="120" w:line="360" w:lineRule="auto"/>
      <w:outlineLvl w:val="6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widowControl w:val="0"/>
      <w:spacing w:after="120" w:line="360" w:lineRule="auto"/>
      <w:outlineLvl w:val="7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widowControl w:val="0"/>
      <w:spacing w:after="120" w:line="360" w:lineRule="auto"/>
      <w:outlineLvl w:val="8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link w:val="22"/>
    <w:qFormat/>
    <w:uiPriority w:val="0"/>
    <w:pPr>
      <w:widowControl w:val="0"/>
      <w:spacing w:line="520" w:lineRule="exact"/>
      <w:ind w:firstLine="600" w:firstLineChars="200"/>
      <w:jc w:val="both"/>
    </w:pPr>
    <w:rPr>
      <w:rFonts w:ascii="Times New Roman" w:hAnsi="Calibri" w:eastAsia="方正仿宋_GB18030" w:cs="Times New Roman"/>
      <w:sz w:val="30"/>
      <w:lang w:val="en-US" w:eastAsia="zh-CN" w:bidi="ar-SA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widowControl w:val="0"/>
      <w:spacing w:after="240"/>
      <w:jc w:val="center"/>
    </w:pPr>
    <w:rPr>
      <w:rFonts w:ascii="Times New Roman" w:hAnsi="Times New Roman" w:eastAsia="宋体" w:cs="Times New Roman"/>
      <w:kern w:val="28"/>
      <w:sz w:val="21"/>
      <w:lang w:val="en-US" w:eastAsia="zh-CN" w:bidi="ar-SA"/>
    </w:rPr>
  </w:style>
  <w:style w:type="paragraph" w:styleId="15">
    <w:name w:val="Title"/>
    <w:qFormat/>
    <w:uiPriority w:val="0"/>
    <w:pPr>
      <w:widowControl w:val="0"/>
      <w:spacing w:line="520" w:lineRule="exact"/>
      <w:jc w:val="center"/>
    </w:pPr>
    <w:rPr>
      <w:rFonts w:ascii="Times New Roman" w:hAnsi="Times New Roman" w:eastAsia="方正小标宋简体" w:cs="Times New Roman"/>
      <w:kern w:val="2"/>
      <w:sz w:val="36"/>
      <w:szCs w:val="36"/>
      <w:lang w:val="en-US" w:eastAsia="zh-CN" w:bidi="ar-SA"/>
    </w:rPr>
  </w:style>
  <w:style w:type="paragraph" w:customStyle="1" w:styleId="18">
    <w:name w:val="附录标题"/>
    <w:next w:val="1"/>
    <w:qFormat/>
    <w:uiPriority w:val="0"/>
    <w:pPr>
      <w:widowControl w:val="0"/>
      <w:spacing w:line="520" w:lineRule="exact"/>
      <w:ind w:firstLine="600" w:firstLineChars="200"/>
      <w:jc w:val="both"/>
      <w:outlineLvl w:val="0"/>
    </w:pPr>
    <w:rPr>
      <w:rFonts w:ascii="Times New Roman" w:hAnsi="Times New Roman" w:eastAsia="方正仿宋_GB18030" w:cs="Times New Roman"/>
      <w:kern w:val="2"/>
      <w:sz w:val="30"/>
      <w:szCs w:val="30"/>
      <w:lang w:val="en-US" w:eastAsia="zh-CN" w:bidi="ar-SA"/>
    </w:rPr>
  </w:style>
  <w:style w:type="paragraph" w:customStyle="1" w:styleId="19">
    <w:name w:val="章节标题"/>
    <w:next w:val="1"/>
    <w:qFormat/>
    <w:uiPriority w:val="0"/>
    <w:pPr>
      <w:widowControl w:val="0"/>
      <w:spacing w:before="240" w:after="240"/>
      <w:jc w:val="center"/>
      <w:outlineLvl w:val="0"/>
    </w:pPr>
    <w:rPr>
      <w:rFonts w:ascii="Times New Roman" w:hAnsi="Times New Roman" w:eastAsia="黑体" w:cs="Times New Roman"/>
      <w:kern w:val="44"/>
      <w:sz w:val="32"/>
      <w:szCs w:val="36"/>
      <w:lang w:val="en-US" w:eastAsia="zh-CN" w:bidi="ar-SA"/>
    </w:rPr>
  </w:style>
  <w:style w:type="character" w:customStyle="1" w:styleId="20">
    <w:name w:val="页眉 字符"/>
    <w:basedOn w:val="17"/>
    <w:link w:val="13"/>
    <w:qFormat/>
    <w:uiPriority w:val="0"/>
    <w:rPr>
      <w:sz w:val="18"/>
      <w:szCs w:val="18"/>
    </w:rPr>
  </w:style>
  <w:style w:type="character" w:customStyle="1" w:styleId="21">
    <w:name w:val="页脚 字符"/>
    <w:basedOn w:val="17"/>
    <w:link w:val="12"/>
    <w:qFormat/>
    <w:uiPriority w:val="0"/>
    <w:rPr>
      <w:sz w:val="18"/>
      <w:szCs w:val="18"/>
    </w:rPr>
  </w:style>
  <w:style w:type="character" w:customStyle="1" w:styleId="22">
    <w:name w:val="正文文本 字符"/>
    <w:basedOn w:val="17"/>
    <w:link w:val="11"/>
    <w:qFormat/>
    <w:uiPriority w:val="0"/>
    <w:rPr>
      <w:rFonts w:ascii="Times New Roman" w:hAnsi="Calibri" w:eastAsia="方正仿宋_GB18030" w:cs="Times New Roman"/>
      <w:sz w:val="30"/>
    </w:rPr>
  </w:style>
  <w:style w:type="paragraph" w:customStyle="1" w:styleId="23">
    <w:name w:val="null5"/>
    <w:hidden/>
    <w:qFormat/>
    <w:uiPriority w:val="0"/>
    <w:rPr>
      <w:rFonts w:hint="eastAsia" w:ascii="仿宋_GB2312" w:hAnsi="仿宋_GB2312" w:eastAsia="仿宋_GB2312" w:cs="仿宋_GB2312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3443</Words>
  <Characters>3710</Characters>
  <Lines>218</Lines>
  <Paragraphs>123</Paragraphs>
  <TotalTime>1</TotalTime>
  <ScaleCrop>false</ScaleCrop>
  <LinksUpToDate>false</LinksUpToDate>
  <CharactersWithSpaces>3775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2026-08-05T07:51:00Z</dcterms:created>
  <dc:creator>Apache POI</dc:creator>
  <cp:lastModifiedBy>李纹秀</cp:lastModifiedBy>
  <dcterms:modified xsi:type="dcterms:W3CDTF">2026-08-07T03:38:31Z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{"Label":"1","ContentProducer":"001191110102MACQD9K64010000","ProduceID":"7670133466491342071","ReservedCode1":"","ContentPropagator":"","PropagateID":"","ReservedCode2":""}</vt:lpwstr>
  </property>
  <property fmtid="{D5CDD505-2E9C-101B-9397-08002B2CF9AE}" pid="3" name="KSOTemplateDocerSaveRecord">
    <vt:lpwstr>eyJoZGlkIjoiMmE3OTZkZDVkMzliNmM4OThlNTFhNDU0OGYxMTE5NzkiLCJ1c2VySWQiOiIyNzY2MTE3MDYifQ==</vt:lpwstr>
  </property>
  <property fmtid="{D5CDD505-2E9C-101B-9397-08002B2CF9AE}" pid="4" name="KSOProductBuildVer">
    <vt:lpwstr>2052-12.1.0.26895</vt:lpwstr>
  </property>
  <property fmtid="{D5CDD505-2E9C-101B-9397-08002B2CF9AE}" pid="5" name="ICV">
    <vt:lpwstr>96BC7E15D9D24D2B96FE1466CB192A19_13</vt:lpwstr>
  </property>
</Properties>
</file>