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67C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2AB2A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</w:p>
    <w:p w14:paraId="7AE657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现场演示要求</w:t>
      </w:r>
    </w:p>
    <w:p w14:paraId="33EEB461">
      <w:pPr>
        <w:pStyle w:val="2"/>
        <w:rPr>
          <w:rFonts w:hint="default"/>
          <w:lang w:val="en-US" w:eastAsia="zh-CN"/>
        </w:rPr>
      </w:pPr>
    </w:p>
    <w:tbl>
      <w:tblPr>
        <w:tblStyle w:val="4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455"/>
        <w:gridCol w:w="3105"/>
        <w:gridCol w:w="3855"/>
      </w:tblGrid>
      <w:tr w14:paraId="0F39E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29" w:type="dxa"/>
            <w:noWrap w:val="0"/>
            <w:vAlign w:val="center"/>
          </w:tcPr>
          <w:p w14:paraId="4C036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noWrap w:val="0"/>
            <w:vAlign w:val="center"/>
          </w:tcPr>
          <w:p w14:paraId="4F2DB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105" w:type="dxa"/>
            <w:noWrap w:val="0"/>
            <w:vAlign w:val="center"/>
          </w:tcPr>
          <w:p w14:paraId="292F4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准备要求</w:t>
            </w:r>
          </w:p>
        </w:tc>
        <w:tc>
          <w:tcPr>
            <w:tcW w:w="3855" w:type="dxa"/>
            <w:noWrap w:val="0"/>
            <w:vAlign w:val="center"/>
          </w:tcPr>
          <w:p w14:paraId="49076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判定原则</w:t>
            </w:r>
          </w:p>
        </w:tc>
      </w:tr>
      <w:tr w14:paraId="5EC55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9" w:type="dxa"/>
            <w:noWrap w:val="0"/>
            <w:vAlign w:val="center"/>
          </w:tcPr>
          <w:p w14:paraId="4D3B1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noWrap w:val="0"/>
            <w:vAlign w:val="center"/>
          </w:tcPr>
          <w:p w14:paraId="6E0A9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eastAsia="方正仿宋_GBK" w:cs="Times New Roman"/>
                <w:strike w:val="0"/>
                <w:dstrike w:val="0"/>
                <w:color w:val="auto"/>
                <w:sz w:val="24"/>
                <w:szCs w:val="24"/>
                <w:vertAlign w:val="baseline"/>
                <w:lang w:val="en-US" w:eastAsia="zh-CN"/>
              </w:rPr>
              <w:t>微型耕耘机</w:t>
            </w:r>
          </w:p>
        </w:tc>
        <w:tc>
          <w:tcPr>
            <w:tcW w:w="3105" w:type="dxa"/>
            <w:noWrap w:val="0"/>
            <w:vAlign w:val="center"/>
          </w:tcPr>
          <w:p w14:paraId="17421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trike w:val="0"/>
                <w:dstrike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trike w:val="0"/>
                <w:dstrike w:val="0"/>
                <w:color w:val="auto"/>
                <w:sz w:val="24"/>
                <w:szCs w:val="24"/>
                <w:vertAlign w:val="baseline"/>
                <w:lang w:val="en-US" w:eastAsia="zh-CN"/>
              </w:rPr>
              <w:t>机具按实际作业状态组装，加满燃油。</w:t>
            </w:r>
          </w:p>
        </w:tc>
        <w:tc>
          <w:tcPr>
            <w:tcW w:w="3855" w:type="dxa"/>
            <w:noWrap w:val="0"/>
            <w:vAlign w:val="center"/>
          </w:tcPr>
          <w:p w14:paraId="026E3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现场演示</w:t>
            </w:r>
            <w:r>
              <w:rPr>
                <w:rFonts w:hint="eastAsia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前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对产品</w:t>
            </w:r>
            <w:r>
              <w:rPr>
                <w:rFonts w:hint="eastAsia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外形尺寸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工作幅宽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刀辊最大回转半径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和整机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满油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质量进行测量；对产品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型号名称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配套发动机生产企业、配套发动机标定功率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配套发动机标定转速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和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总安装刀数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进行核对。</w:t>
            </w:r>
          </w:p>
          <w:p w14:paraId="0AC9F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strike/>
                <w:dstrike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现场演示</w:t>
            </w:r>
            <w:r>
              <w:rPr>
                <w:rFonts w:hint="eastAsia" w:eastAsia="方正仿宋_GBK" w:cs="Times New Roman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机具在测定区内作业1个行程后测定耕深，耕深测定方法及判定规则符合《DG/T 006—2019微耕机》大纲要求。</w:t>
            </w:r>
          </w:p>
        </w:tc>
      </w:tr>
    </w:tbl>
    <w:p w14:paraId="55ADF05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A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Times New Roman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2026-08-17T07:36:31Z</dcterms:created>
  <dc:creator>john</dc:creator>
  <cp:lastModifiedBy>尹博远</cp:lastModifiedBy>
  <dcterms:modified xsi:type="dcterms:W3CDTF">2026-08-17T07:36:39Z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eyJoZGlkIjoiYTNjZGEyOTMyOWFkMzM4YjQ2MmQzOGUxNWYyNWU5YzkiLCJ1c2VySWQiOiI5MjA4MTc2MTgifQ==</vt:lpwstr>
  </property>
  <property fmtid="{D5CDD505-2E9C-101B-9397-08002B2CF9AE}" pid="4" name="ICV">
    <vt:lpwstr>214805F2784B4169BF9642616D299804_12</vt:lpwstr>
  </property>
</Properties>
</file>