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B21D9">
      <w:pPr>
        <w:pStyle w:val="4"/>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b w:val="0"/>
          <w:color w:val="auto"/>
          <w:kern w:val="2"/>
          <w:sz w:val="44"/>
          <w:szCs w:val="44"/>
          <w:lang w:val="en-US" w:eastAsia="zh-CN" w:bidi="ar-SA"/>
        </w:rPr>
      </w:pPr>
    </w:p>
    <w:p w14:paraId="586589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color w:val="auto"/>
          <w:kern w:val="2"/>
          <w:sz w:val="44"/>
          <w:szCs w:val="44"/>
          <w:lang w:val="en-US" w:eastAsia="zh-CN" w:bidi="ar-SA"/>
        </w:rPr>
      </w:pPr>
      <w:r>
        <w:rPr>
          <w:rFonts w:hint="eastAsia" w:ascii="宋体" w:hAnsi="宋体" w:eastAsia="宋体" w:cs="宋体"/>
          <w:b w:val="0"/>
          <w:color w:val="auto"/>
          <w:kern w:val="2"/>
          <w:sz w:val="44"/>
          <w:szCs w:val="44"/>
          <w:lang w:val="en-US" w:eastAsia="zh-CN" w:bidi="ar-SA"/>
        </w:rPr>
        <w:t>云南省农业农村厅关于印发《云南省高标准</w:t>
      </w:r>
    </w:p>
    <w:p w14:paraId="3D06FB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color w:val="auto"/>
          <w:kern w:val="2"/>
          <w:sz w:val="44"/>
          <w:szCs w:val="44"/>
          <w:lang w:val="en-US" w:eastAsia="zh-CN" w:bidi="ar-SA"/>
        </w:rPr>
      </w:pPr>
      <w:r>
        <w:rPr>
          <w:rFonts w:hint="eastAsia" w:ascii="宋体" w:hAnsi="宋体" w:eastAsia="宋体" w:cs="宋体"/>
          <w:b w:val="0"/>
          <w:color w:val="auto"/>
          <w:kern w:val="2"/>
          <w:sz w:val="44"/>
          <w:szCs w:val="44"/>
          <w:lang w:val="en-US" w:eastAsia="zh-CN" w:bidi="ar-SA"/>
        </w:rPr>
        <w:t>农田工程设施管护规定》的通知</w:t>
      </w:r>
    </w:p>
    <w:p w14:paraId="78AA87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云农规〔202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p>
    <w:p w14:paraId="1B5F31E5">
      <w:pPr>
        <w:pStyle w:val="4"/>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21C9B4AA">
      <w:pPr>
        <w:keepNext w:val="0"/>
        <w:keepLines w:val="0"/>
        <w:pageBreakBefore w:val="0"/>
        <w:kinsoku/>
        <w:wordWrap/>
        <w:overflowPunct/>
        <w:topLinePunct w:val="0"/>
        <w:autoSpaceDE/>
        <w:autoSpaceDN/>
        <w:bidi w:val="0"/>
        <w:adjustRightInd/>
        <w:snapToGrid/>
        <w:spacing w:line="600" w:lineRule="exact"/>
        <w:textAlignment w:val="auto"/>
        <w:rPr>
          <w:rFonts w:hint="eastAsia"/>
        </w:rPr>
      </w:pPr>
    </w:p>
    <w:p w14:paraId="20AE4C39">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各州（市）农业农村局：</w:t>
      </w:r>
    </w:p>
    <w:p w14:paraId="22EC965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为加强高标准农田工程设施管护工作，提高高标准农田建设财政资金使用效益，确保高标准农田建设项目区已建成的工程正常运转并长期发挥效益，省农业农村厅结合实际，对《云南省农田建设项目工程管护规定》进行了修订。现将修订后的《云南省高标准农田工程设施管护规定》印发给你们，请认真抓好贯彻落实。</w:t>
      </w:r>
    </w:p>
    <w:p w14:paraId="1D11F5EA">
      <w:pPr>
        <w:pStyle w:val="7"/>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0"/>
        <w:jc w:val="right"/>
        <w:textAlignment w:val="auto"/>
        <w:rPr>
          <w:rFonts w:hint="eastAsia" w:ascii="仿宋" w:hAnsi="仿宋" w:eastAsia="仿宋" w:cs="仿宋"/>
          <w:sz w:val="32"/>
          <w:szCs w:val="32"/>
        </w:rPr>
      </w:pPr>
    </w:p>
    <w:p w14:paraId="4C7064DF">
      <w:pPr>
        <w:pStyle w:val="7"/>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0"/>
        <w:jc w:val="right"/>
        <w:textAlignment w:val="auto"/>
        <w:rPr>
          <w:rFonts w:hint="eastAsia" w:ascii="仿宋" w:hAnsi="仿宋" w:eastAsia="仿宋" w:cs="仿宋"/>
          <w:sz w:val="32"/>
          <w:szCs w:val="32"/>
        </w:rPr>
      </w:pPr>
    </w:p>
    <w:p w14:paraId="2ED9A813">
      <w:pPr>
        <w:pStyle w:val="7"/>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0"/>
        <w:jc w:val="right"/>
        <w:textAlignment w:val="auto"/>
        <w:rPr>
          <w:rFonts w:hint="eastAsia" w:ascii="仿宋" w:hAnsi="仿宋" w:eastAsia="仿宋" w:cs="仿宋"/>
          <w:sz w:val="32"/>
          <w:szCs w:val="32"/>
        </w:rPr>
      </w:pPr>
      <w:r>
        <w:rPr>
          <w:rFonts w:hint="eastAsia" w:ascii="仿宋" w:hAnsi="仿宋" w:eastAsia="仿宋" w:cs="仿宋"/>
          <w:sz w:val="32"/>
          <w:szCs w:val="32"/>
        </w:rPr>
        <w:t>云南省农业农村厅</w:t>
      </w:r>
    </w:p>
    <w:p w14:paraId="5F6976D4">
      <w:pPr>
        <w:pStyle w:val="7"/>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0"/>
        <w:jc w:val="right"/>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月2</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14:paraId="663B7E1A">
      <w:pPr>
        <w:pStyle w:val="4"/>
        <w:keepNext w:val="0"/>
        <w:keepLines w:val="0"/>
        <w:pageBreakBefore w:val="0"/>
        <w:kinsoku/>
        <w:wordWrap/>
        <w:overflowPunct/>
        <w:topLinePunct w:val="0"/>
        <w:autoSpaceDE/>
        <w:autoSpaceDN/>
        <w:bidi w:val="0"/>
        <w:adjustRightInd/>
        <w:snapToGrid/>
        <w:spacing w:afterAutospacing="0" w:line="600" w:lineRule="exact"/>
        <w:textAlignment w:val="auto"/>
        <w:rPr>
          <w:rFonts w:hint="default"/>
          <w:lang w:val="en-US" w:eastAsia="zh-CN"/>
        </w:rPr>
      </w:pPr>
      <w:r>
        <w:rPr>
          <w:rFonts w:hint="eastAsia" w:ascii="仿宋" w:hAnsi="仿宋" w:eastAsia="仿宋" w:cs="仿宋"/>
          <w:sz w:val="32"/>
          <w:szCs w:val="32"/>
          <w:lang w:val="en-US" w:eastAsia="zh-CN"/>
        </w:rPr>
        <w:t>（此件公开发布）</w:t>
      </w:r>
    </w:p>
    <w:p w14:paraId="06D371C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rPr>
      </w:pPr>
    </w:p>
    <w:p w14:paraId="1155ABA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val="0"/>
          <w:color w:val="auto"/>
          <w:kern w:val="2"/>
          <w:sz w:val="44"/>
          <w:szCs w:val="44"/>
          <w:lang w:val="en-US" w:eastAsia="zh-CN" w:bidi="ar-SA"/>
        </w:rPr>
      </w:pPr>
    </w:p>
    <w:p w14:paraId="2EEC8B74">
      <w:pPr>
        <w:keepNext w:val="0"/>
        <w:keepLines w:val="0"/>
        <w:pageBreakBefore w:val="0"/>
        <w:widowControl w:val="0"/>
        <w:kinsoku/>
        <w:wordWrap/>
        <w:overflowPunct/>
        <w:topLinePunct w:val="0"/>
        <w:autoSpaceDE/>
        <w:autoSpaceDN/>
        <w:bidi w:val="0"/>
        <w:adjustRightInd/>
        <w:snapToGrid/>
        <w:spacing w:afterAutospacing="0" w:line="600" w:lineRule="exact"/>
        <w:jc w:val="center"/>
        <w:textAlignment w:val="auto"/>
        <w:rPr>
          <w:rFonts w:hint="default" w:ascii="宋体" w:hAnsi="宋体" w:eastAsia="宋体" w:cs="宋体"/>
          <w:b w:val="0"/>
          <w:color w:val="auto"/>
          <w:kern w:val="2"/>
          <w:sz w:val="44"/>
          <w:szCs w:val="44"/>
          <w:lang w:val="en-US" w:eastAsia="zh-CN" w:bidi="ar-SA"/>
        </w:rPr>
      </w:pPr>
      <w:r>
        <w:rPr>
          <w:rFonts w:hint="default" w:ascii="宋体" w:hAnsi="宋体" w:eastAsia="宋体" w:cs="宋体"/>
          <w:b w:val="0"/>
          <w:color w:val="auto"/>
          <w:kern w:val="2"/>
          <w:sz w:val="44"/>
          <w:szCs w:val="44"/>
          <w:lang w:val="en-US" w:eastAsia="zh-CN" w:bidi="ar-SA"/>
        </w:rPr>
        <w:t>云南省</w:t>
      </w:r>
      <w:r>
        <w:rPr>
          <w:rFonts w:hint="eastAsia" w:ascii="宋体" w:hAnsi="宋体" w:eastAsia="宋体" w:cs="宋体"/>
          <w:b w:val="0"/>
          <w:color w:val="auto"/>
          <w:kern w:val="2"/>
          <w:sz w:val="44"/>
          <w:szCs w:val="44"/>
          <w:lang w:val="en-US" w:eastAsia="zh-CN" w:bidi="ar-SA"/>
        </w:rPr>
        <w:t>高标准</w:t>
      </w:r>
      <w:r>
        <w:rPr>
          <w:rFonts w:hint="default" w:ascii="宋体" w:hAnsi="宋体" w:eastAsia="宋体" w:cs="宋体"/>
          <w:b w:val="0"/>
          <w:color w:val="auto"/>
          <w:kern w:val="2"/>
          <w:sz w:val="44"/>
          <w:szCs w:val="44"/>
          <w:lang w:val="en-US" w:eastAsia="zh-CN" w:bidi="ar-SA"/>
        </w:rPr>
        <w:t>农田</w:t>
      </w:r>
      <w:r>
        <w:rPr>
          <w:rFonts w:hint="eastAsia" w:ascii="宋体" w:hAnsi="宋体" w:eastAsia="宋体" w:cs="宋体"/>
          <w:b w:val="0"/>
          <w:color w:val="auto"/>
          <w:kern w:val="2"/>
          <w:sz w:val="44"/>
          <w:szCs w:val="44"/>
          <w:lang w:val="en-US" w:eastAsia="zh-CN" w:bidi="ar-SA"/>
        </w:rPr>
        <w:t>工程设施</w:t>
      </w:r>
      <w:r>
        <w:rPr>
          <w:rFonts w:hint="default" w:ascii="宋体" w:hAnsi="宋体" w:eastAsia="宋体" w:cs="宋体"/>
          <w:b w:val="0"/>
          <w:color w:val="auto"/>
          <w:kern w:val="2"/>
          <w:sz w:val="44"/>
          <w:szCs w:val="44"/>
          <w:lang w:val="en-US" w:eastAsia="zh-CN" w:bidi="ar-SA"/>
        </w:rPr>
        <w:t>管护规定</w:t>
      </w:r>
    </w:p>
    <w:p w14:paraId="375B3612">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p>
    <w:p w14:paraId="32A5D4D0">
      <w:pPr>
        <w:pStyle w:val="2"/>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第一章　总　则</w:t>
      </w:r>
    </w:p>
    <w:p w14:paraId="65A2BC40">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p>
    <w:p w14:paraId="4B043CF1">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第一条</w:t>
      </w:r>
      <w:r>
        <w:rPr>
          <w:rFonts w:hint="eastAsia" w:ascii="仿宋" w:hAnsi="仿宋" w:eastAsia="仿宋" w:cs="仿宋"/>
          <w:sz w:val="32"/>
          <w:szCs w:val="32"/>
        </w:rPr>
        <w:t>　为加强高标准农田工程设施管护工作，提高高标准农田建设财政资金使用效益，保证高标准农田建设项目区已建成的工程正常运转并长期发挥效益，根据《中共中央办公厅 国务院办公厅关于印发〈逐步把永久基本农田建成高标准农田实施方案〉的通知》（中办发〔2025〕13号）和《农业农村部关于印发〈高标准农田工程设施管护办法（试行）〉的通知》（农建发〔2025〕4号）等规定，结合全省实际，制定本规定。</w:t>
      </w:r>
    </w:p>
    <w:p w14:paraId="5DD5130C">
      <w:pPr>
        <w:pStyle w:val="7"/>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eastAsia="zh-CN"/>
        </w:rPr>
        <w:t>　　</w:t>
      </w:r>
      <w:r>
        <w:rPr>
          <w:rFonts w:hint="eastAsia" w:ascii="黑体" w:hAnsi="黑体" w:eastAsia="黑体" w:cs="黑体"/>
          <w:sz w:val="32"/>
          <w:szCs w:val="32"/>
        </w:rPr>
        <w:t>第二条</w:t>
      </w:r>
      <w:r>
        <w:rPr>
          <w:rFonts w:hint="eastAsia" w:ascii="仿宋" w:hAnsi="仿宋" w:eastAsia="仿宋" w:cs="仿宋"/>
          <w:sz w:val="32"/>
          <w:szCs w:val="32"/>
        </w:rPr>
        <w:t>　</w:t>
      </w:r>
      <w:r>
        <w:rPr>
          <w:rFonts w:hint="eastAsia" w:ascii="仿宋" w:hAnsi="仿宋" w:eastAsia="仿宋" w:cs="仿宋"/>
          <w:kern w:val="2"/>
          <w:sz w:val="32"/>
          <w:szCs w:val="32"/>
          <w:lang w:val="en-US" w:eastAsia="zh-CN" w:bidi="ar-SA"/>
        </w:rPr>
        <w:t>本规定适用于全省行政区域内农业农村部门实施的高标准农田建设项目。</w:t>
      </w:r>
    </w:p>
    <w:p w14:paraId="6C043E3B">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第三条</w:t>
      </w:r>
      <w:r>
        <w:rPr>
          <w:rFonts w:hint="eastAsia" w:ascii="仿宋" w:hAnsi="仿宋" w:eastAsia="仿宋" w:cs="仿宋"/>
          <w:sz w:val="32"/>
          <w:szCs w:val="32"/>
        </w:rPr>
        <w:t>　本规定所称的高标准农田工程设施管护，是指对已上图入库的高标准农田项目田块整治、灌排设施、田间道路、农田防护与生态环境保护、农田输配电等工程设施开展的日常巡查、维修及养护，保障在设计使用年限内正常运行。</w:t>
      </w:r>
    </w:p>
    <w:p w14:paraId="421C86F5">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rPr>
        <w:t>第四条</w:t>
      </w:r>
      <w:r>
        <w:rPr>
          <w:rFonts w:hint="eastAsia" w:ascii="仿宋" w:hAnsi="仿宋" w:eastAsia="仿宋" w:cs="仿宋"/>
          <w:sz w:val="32"/>
          <w:szCs w:val="32"/>
        </w:rPr>
        <w:t>　</w:t>
      </w:r>
      <w:r>
        <w:rPr>
          <w:rFonts w:hint="eastAsia" w:ascii="仿宋" w:hAnsi="仿宋" w:eastAsia="仿宋" w:cs="仿宋"/>
          <w:kern w:val="2"/>
          <w:sz w:val="32"/>
          <w:szCs w:val="32"/>
          <w:lang w:val="en-US" w:eastAsia="zh-CN" w:bidi="ar-SA"/>
        </w:rPr>
        <w:t>高标准农田工程设施管护应坚持政府主导、多方参与，明确主体、落实责任，因地制宜、分类施策，建管并重、持续利用，谁受益、谁管护，谁使用、谁管护的原则，健全完善“权责明晰、运行有效、日常管护和集中管护相结合”的工程设施管护机制，按照“省政府负总责、州（市）政府负主要监管责任、县级政府负主体责任”的总体要求，健全管护制度，筹措管护资金，落实管护主体，压实管护责任，完善管护措施，建好、管好高标准农田工程设施。</w:t>
      </w:r>
    </w:p>
    <w:p w14:paraId="22304A28">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eastAsia="zh-CN"/>
        </w:rPr>
        <w:t>　</w:t>
      </w:r>
      <w:r>
        <w:rPr>
          <w:rFonts w:hint="eastAsia" w:ascii="黑体" w:hAnsi="黑体" w:eastAsia="黑体" w:cs="黑体"/>
          <w:sz w:val="32"/>
          <w:szCs w:val="32"/>
        </w:rPr>
        <w:t>第</w:t>
      </w:r>
      <w:r>
        <w:rPr>
          <w:rFonts w:hint="eastAsia" w:ascii="黑体" w:hAnsi="黑体" w:eastAsia="黑体" w:cs="黑体"/>
          <w:sz w:val="32"/>
          <w:szCs w:val="32"/>
          <w:lang w:val="en-US" w:eastAsia="zh-CN"/>
        </w:rPr>
        <w:t>五</w:t>
      </w:r>
      <w:r>
        <w:rPr>
          <w:rFonts w:hint="eastAsia" w:ascii="黑体" w:hAnsi="黑体" w:eastAsia="黑体" w:cs="黑体"/>
          <w:sz w:val="32"/>
          <w:szCs w:val="32"/>
        </w:rPr>
        <w:t>条</w:t>
      </w:r>
      <w:r>
        <w:rPr>
          <w:rFonts w:hint="eastAsia" w:ascii="黑体" w:hAnsi="黑体" w:eastAsia="黑体" w:cs="黑体"/>
          <w:sz w:val="30"/>
          <w:szCs w:val="30"/>
        </w:rPr>
        <w:t>　</w:t>
      </w:r>
      <w:r>
        <w:rPr>
          <w:rFonts w:hint="eastAsia" w:ascii="仿宋" w:hAnsi="仿宋" w:eastAsia="仿宋" w:cs="仿宋"/>
          <w:kern w:val="2"/>
          <w:sz w:val="32"/>
          <w:szCs w:val="32"/>
          <w:lang w:val="en-US" w:eastAsia="zh-CN" w:bidi="ar-SA"/>
        </w:rPr>
        <w:t>任何单位和个人，不得损坏高标准农田工程设施，不得擅自变更高标准农田工程设施的用途和服务范围。</w:t>
      </w:r>
    </w:p>
    <w:p w14:paraId="76E6F20D">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p>
    <w:p w14:paraId="170309D0">
      <w:pPr>
        <w:pStyle w:val="2"/>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kern w:val="2"/>
          <w:sz w:val="32"/>
          <w:szCs w:val="32"/>
          <w:lang w:val="en-US" w:eastAsia="zh-CN" w:bidi="ar-SA"/>
        </w:rPr>
      </w:pPr>
      <w:r>
        <w:rPr>
          <w:rFonts w:hint="eastAsia" w:ascii="黑体" w:hAnsi="黑体" w:eastAsia="黑体" w:cs="黑体"/>
          <w:kern w:val="2"/>
          <w:sz w:val="32"/>
          <w:szCs w:val="32"/>
          <w:lang w:val="en-US" w:eastAsia="zh-CN" w:bidi="ar-SA"/>
        </w:rPr>
        <w:t>第二章　管护内容及标准</w:t>
      </w:r>
    </w:p>
    <w:p w14:paraId="3B573460">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p>
    <w:p w14:paraId="2EFACD38">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　</w:t>
      </w:r>
      <w:r>
        <w:rPr>
          <w:rFonts w:hint="eastAsia" w:ascii="仿宋" w:hAnsi="仿宋" w:eastAsia="仿宋" w:cs="仿宋"/>
          <w:sz w:val="32"/>
          <w:szCs w:val="32"/>
          <w:lang w:val="en-US" w:eastAsia="zh-CN"/>
        </w:rPr>
        <w:t>高标准农田工程设施管护内容包括高标准农田建设项目区内的田块整治、灌溉与排水、田间道路、农田防护与生态环境保护、农田输配电以及建成的其他工程设施，应达到以下标准。</w:t>
      </w:r>
    </w:p>
    <w:p w14:paraId="4F263E88">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（一）田块整治工程。土地平整度、地块耕作层厚度、土壤肥力等满足农作物种植要求，田埂、护坡等无垮塌、损毁等。</w:t>
      </w:r>
    </w:p>
    <w:p w14:paraId="7472A323">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灌溉与排水工程。确保沟渠过水断面畅通，无杂物堆放、阻塞；保证沟渠完好，沟渠边墙、护坡无损毁、倒塌、塌方等；输配水管道工程不堵塞，水流能到点到位；小型塘坝、水井、井房、泵站、田间蓄水池等小型水源工程正常使用，灌溉能力得到保障。</w:t>
      </w:r>
    </w:p>
    <w:p w14:paraId="0ABB1270">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（三）田间道路工程。机耕道、生产路、下田板（涵）、路沿路肩等设施完好，无塌陷破损，农机能够正常通行且无安全隐患等。</w:t>
      </w:r>
    </w:p>
    <w:p w14:paraId="339E7137">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（四）农田防护与生态环境保护工程。农田防护林网林木存活率较高，岸坡防护、坡面防护工程保持总体完整且能够有效发挥作用等。</w:t>
      </w:r>
    </w:p>
    <w:p w14:paraId="074B4B98">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（五）农田输配电工程。农田输电线路、变配电装置、强弱电设施完好、正常运行，无安全隐患，围栏和警示标志完整等。</w:t>
      </w:r>
    </w:p>
    <w:p w14:paraId="1A0F9685">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（六）其他工程。项目永久性公示牌、工程标识牌完好、整洁，其他工程设施运行情况良好。</w:t>
      </w:r>
    </w:p>
    <w:p w14:paraId="0C706161">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p>
    <w:p w14:paraId="1EAF435C">
      <w:pPr>
        <w:pStyle w:val="2"/>
        <w:keepNext w:val="0"/>
        <w:keepLines w:val="0"/>
        <w:pageBreakBefore w:val="0"/>
        <w:numPr>
          <w:ilvl w:val="0"/>
          <w:numId w:val="1"/>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工程管护主体和方式</w:t>
      </w:r>
    </w:p>
    <w:p w14:paraId="335D5386">
      <w:pPr>
        <w:keepNext w:val="0"/>
        <w:keepLines w:val="0"/>
        <w:pageBreakBefore w:val="0"/>
        <w:numPr>
          <w:numId w:val="0"/>
        </w:numPr>
        <w:kinsoku/>
        <w:wordWrap/>
        <w:overflowPunct/>
        <w:topLinePunct w:val="0"/>
        <w:autoSpaceDE/>
        <w:autoSpaceDN/>
        <w:bidi w:val="0"/>
        <w:adjustRightInd/>
        <w:snapToGrid/>
        <w:spacing w:line="600" w:lineRule="exact"/>
        <w:textAlignment w:val="auto"/>
        <w:rPr>
          <w:rFonts w:hint="eastAsia"/>
          <w:lang w:val="en-US" w:eastAsia="zh-CN"/>
        </w:rPr>
      </w:pPr>
    </w:p>
    <w:p w14:paraId="7DD1AC81">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sz w:val="32"/>
          <w:szCs w:val="32"/>
          <w:lang w:val="en-US" w:eastAsia="zh-CN"/>
        </w:rPr>
        <w:t>州（市）农业农村部门在同级人民政府的领导下，负责制定本区域内高标准农田工程设施管护制度，指导县级管护工作开展，监督管护制度落实，定期开展培训服务等相关工作。</w:t>
      </w:r>
    </w:p>
    <w:p w14:paraId="6DDDD303">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农业农村部门在同级人民政府领导下，负责结合本地实际完善高标准农田工程设施管护制度，一项目一办法建立健全管护机制，细化管护措施，开展日常抽查、集中维护等相关工作，因地制宜探索创新管护模式。</w:t>
      </w:r>
    </w:p>
    <w:p w14:paraId="2ECD6DCC">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第八条</w:t>
      </w:r>
      <w:r>
        <w:rPr>
          <w:rFonts w:hint="eastAsia" w:ascii="仿宋" w:hAnsi="仿宋" w:eastAsia="仿宋" w:cs="仿宋"/>
          <w:sz w:val="32"/>
          <w:szCs w:val="32"/>
          <w:lang w:val="en-US" w:eastAsia="zh-CN"/>
        </w:rPr>
        <w:t>　高标准农田工程设施管护主体。按照“谁受益、谁管护，谁使用、谁管护”的原则，已规模流转的高标准农田，由取得土地经营权的新型农业经营主体作为管护主体；未流转的农田，由所在村集体作为管护主体。高标准农田工程设施属两个以上村共用的，不能明确到村的，由所在乡镇（街道）作为管护主体。</w:t>
      </w:r>
    </w:p>
    <w:p w14:paraId="0238CE91">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rPr>
        <w:t>第</w:t>
      </w:r>
      <w:r>
        <w:rPr>
          <w:rFonts w:hint="eastAsia" w:ascii="黑体" w:hAnsi="黑体" w:eastAsia="黑体" w:cs="黑体"/>
          <w:sz w:val="32"/>
          <w:szCs w:val="32"/>
          <w:lang w:val="en-US" w:eastAsia="zh-CN"/>
        </w:rPr>
        <w:t>九</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kern w:val="2"/>
          <w:sz w:val="32"/>
          <w:szCs w:val="32"/>
          <w:lang w:val="en-US" w:eastAsia="zh-CN" w:bidi="ar-SA"/>
        </w:rPr>
        <w:t>高标准农田工程设施管护人员。新型农业经营主体作为管护主体的，应自行选定管护人员。村集体或乡镇（街道）作为管护主体的，由村集体或乡镇（街道）负责选定管护人员并签订管护合同。村集体可设立高标准农田运行管护公益性岗位，从村组干部和有一定农田设施管理经验的村民中择优选择，同等条件下优先选择有劳动能力的脱贫劳动力。</w:t>
      </w:r>
    </w:p>
    <w:p w14:paraId="67F1F912">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管护人员负责日常管护工作，包括日常巡视、检查，中小沟渠、沉砂池等日常清淤，泵站、闸门等设备的日常保养维护，防范农村道路、农桥超载超标车辆通行等。</w:t>
      </w:r>
    </w:p>
    <w:p w14:paraId="588C8A02">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管护人员巡查发现高标准农田工程设施存在破损现象或安全隐患时，应及时向村集体报告，由村集体及时组织力量进行修复；若村集体无法完成修复，需及时报请乡镇人民政府或县级农业农村部门协调解决。</w:t>
      </w:r>
    </w:p>
    <w:p w14:paraId="2E6D62A7">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第十条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管护主体要认真落实高标准农田建后管护工作，加强宣传高标准农田建后管护的法律、法规及相关制度，积极引导村民珍惜爱护农田工程设施。项目区所有村民都有维护农田工程设施的义务，有权制止、检举损害农田工程设施的行为。</w:t>
      </w:r>
    </w:p>
    <w:p w14:paraId="54C852B2">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第十一条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县（市、区）农业农村部门应按照先建管护机制、后建工程设施的要求，在项目实施前明确管护主体和管护机制，并在项目实施方案中明确，将管护相关工作列入项目设计内容。未建立管护机制、落实管护主体的项目，不予通过竣工验收。</w:t>
      </w:r>
    </w:p>
    <w:p w14:paraId="0BF8F479">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sz w:val="32"/>
          <w:szCs w:val="32"/>
          <w:lang w:val="en-US" w:eastAsia="zh-CN"/>
        </w:rPr>
        <w:t>政府投入形成的资产，原则上归项目区土地所有者所有。县（市、区）农业农村部门应在高标准农田建设项目竣工验收后，明确工程设施所有权，及时办理交付手续，签订资产交付协议，形成资产交付清单，明确管护要求和标准，建立有效的管护机制。</w:t>
      </w:r>
    </w:p>
    <w:p w14:paraId="76EA7637">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第十三条　</w:t>
      </w:r>
      <w:r>
        <w:rPr>
          <w:rFonts w:hint="eastAsia" w:ascii="仿宋" w:hAnsi="仿宋" w:eastAsia="仿宋" w:cs="仿宋"/>
          <w:sz w:val="32"/>
          <w:szCs w:val="32"/>
        </w:rPr>
        <w:t>因施工质量不达标导致的损毁，在质保期内由施工单位负责整改和维修。质保期满后，项目所在乡镇（街道）应及时将其纳入管护范围，开展管护工作。</w:t>
      </w:r>
    </w:p>
    <w:p w14:paraId="224CD426">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第十四条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因机械作业或人为故意损坏的，按照“谁破坏、谁维修”的原则，由管护实施主体责令损坏人予以修复或缴纳维修费用。任何单位及个人有意损坏工程、寻衅闹事、殴打管护人员的，应移交有关部门依法处理。</w:t>
      </w:r>
    </w:p>
    <w:p w14:paraId="61808370">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第十五条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存在新型经营主体变更的，当地村集体应及时和变更主体签订管护责任书，并监督落实管护职责和管护人员。如遇新型经营主体撤资，在新的经营主体落实之前，当地村集体应落实管护人员，履行管护职责。</w:t>
      </w:r>
    </w:p>
    <w:p w14:paraId="7634394D">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第十六条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跨乡镇（街道）的工程设施，可按行政区划实行分段管理或者委托主要受益对象进行管理。</w:t>
      </w:r>
    </w:p>
    <w:p w14:paraId="6BD8610D">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第十七条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各县（市、区）可结合实际探索创新高标准农田运营管护模式，探索政府购买服务、委托行业机构、引入保险机构、社会化服务等管护模式。针对泵站、电力设施、水闸等技术性较强的设备设施，鼓励通过政府购买服务或委托行业机构等方式，落实专业化维护。</w:t>
      </w:r>
    </w:p>
    <w:p w14:paraId="1EC9A8E3">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鼓励开展高标准农田工程质量和管护保险，支持承保机构组织专业力量对设计、施工、监理进行监督，开展建后管护，防范工程质量和灾损风险，出现问题及时理赔修复。</w:t>
      </w:r>
    </w:p>
    <w:p w14:paraId="0140F48C">
      <w:pPr>
        <w:pStyle w:val="7"/>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第十八条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项目区农民群众是农田工程设施的直接受益主体，要增强主动参与工程设施运行管护的意识，自觉接受村集体的统筹安排，共同维护好、运用好高标准农田工程设施。</w:t>
      </w:r>
    </w:p>
    <w:p w14:paraId="194FFEA6">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九</w:t>
      </w:r>
      <w:r>
        <w:rPr>
          <w:rFonts w:hint="eastAsia" w:ascii="黑体" w:hAnsi="黑体" w:eastAsia="黑体" w:cs="黑体"/>
          <w:sz w:val="32"/>
          <w:szCs w:val="32"/>
        </w:rPr>
        <w:t>条　</w:t>
      </w:r>
      <w:r>
        <w:rPr>
          <w:rFonts w:hint="eastAsia" w:ascii="仿宋" w:hAnsi="仿宋" w:eastAsia="仿宋" w:cs="仿宋"/>
          <w:sz w:val="32"/>
          <w:szCs w:val="32"/>
        </w:rPr>
        <w:t>管护主体应建立管护台账，记录管护情况。乡镇（街道）每季度应向县级农业农村部门报送一次管护情况。</w:t>
      </w:r>
    </w:p>
    <w:p w14:paraId="718FE623">
      <w:pPr>
        <w:pStyle w:val="2"/>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lang w:val="en-US" w:eastAsia="zh-CN"/>
        </w:rPr>
      </w:pPr>
    </w:p>
    <w:p w14:paraId="4B25B821">
      <w:pPr>
        <w:pStyle w:val="2"/>
        <w:keepNext w:val="0"/>
        <w:keepLines w:val="0"/>
        <w:pageBreakBefore w:val="0"/>
        <w:numPr>
          <w:ilvl w:val="0"/>
          <w:numId w:val="1"/>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管护资金</w:t>
      </w:r>
    </w:p>
    <w:p w14:paraId="08696F73">
      <w:pPr>
        <w:pStyle w:val="2"/>
        <w:keepNext w:val="0"/>
        <w:keepLines w:val="0"/>
        <w:pageBreakBefore w:val="0"/>
        <w:numPr>
          <w:numId w:val="0"/>
        </w:numPr>
        <w:kinsoku/>
        <w:wordWrap/>
        <w:overflowPunct/>
        <w:topLinePunct w:val="0"/>
        <w:autoSpaceDE/>
        <w:autoSpaceDN/>
        <w:bidi w:val="0"/>
        <w:adjustRightInd/>
        <w:snapToGrid/>
        <w:spacing w:line="600" w:lineRule="exact"/>
        <w:ind w:leftChars="0"/>
        <w:jc w:val="both"/>
        <w:textAlignment w:val="auto"/>
        <w:rPr>
          <w:rFonts w:hint="eastAsia" w:ascii="黑体" w:hAnsi="黑体" w:eastAsia="黑体" w:cs="黑体"/>
          <w:sz w:val="32"/>
          <w:szCs w:val="32"/>
          <w:lang w:val="en-US" w:eastAsia="zh-CN"/>
        </w:rPr>
      </w:pPr>
    </w:p>
    <w:p w14:paraId="4716F1FB">
      <w:pPr>
        <w:pStyle w:val="2"/>
        <w:keepNext w:val="0"/>
        <w:keepLines w:val="0"/>
        <w:pageBreakBefore w:val="0"/>
        <w:numPr>
          <w:numId w:val="0"/>
        </w:numPr>
        <w:kinsoku/>
        <w:wordWrap/>
        <w:overflowPunct/>
        <w:topLinePunct w:val="0"/>
        <w:autoSpaceDE/>
        <w:autoSpaceDN/>
        <w:bidi w:val="0"/>
        <w:adjustRightInd/>
        <w:snapToGrid/>
        <w:spacing w:line="600" w:lineRule="exact"/>
        <w:ind w:leftChars="0"/>
        <w:jc w:val="both"/>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第二十条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各地应健全高标准农田工程设施运营管护多元化投入机制，合理保障管护经费，发挥地方财政资金引导作用，多渠道筹措运营管护经费。</w:t>
      </w:r>
    </w:p>
    <w:p w14:paraId="163CDB40">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财政安排预算。省级每年安排一定比例的财政补助资金支持各地开展高标准农田建设工程设施管护。州（市）、县（市、区）人民政府有关部门应当按照财政事权和支出责任划分原则，安排本级管护财政补助资金，保障高标准农田建设工程设施管护资金投入稳定。</w:t>
      </w:r>
    </w:p>
    <w:p w14:paraId="26C9CD67">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项目资金计提。县级人民政府有关部门在坚持量质并重、保障建设成效、符合有关资金投入比例要求的前提下，可在省级及以下建设资金中，按照不超过当年高标准农田建设项目省级及以下政府总投入1.5％的比例提取管护资金，用于高标准农田管护。</w:t>
      </w:r>
    </w:p>
    <w:p w14:paraId="7296D3E5">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（三）其他渠道补充。鼓励各地引导社会投资、金融机构等投入高标准农田工程设施管护。管护主体可通过投工筹资，以及从工程设施经营收益、社会捐赠资金中按比例计提等方式筹措管护资金。</w:t>
      </w:r>
    </w:p>
    <w:p w14:paraId="7DE57105">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第二十一条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高标准农田建设项目管护经费的使用范围。管护资金主要用于高标准农田工程设施管护直接相关的物资材料、简易管护工具费用及委托服务费、管护保险费、劳务报酬等支出。资金不得用于财政补助单位人员经费和运转经费、办公设备购置以及其他与高标准农田工程设施管护无关的支出。</w:t>
      </w:r>
    </w:p>
    <w:p w14:paraId="12B57C10">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二十二</w:t>
      </w:r>
      <w:r>
        <w:rPr>
          <w:rFonts w:hint="eastAsia" w:ascii="黑体" w:hAnsi="黑体" w:eastAsia="黑体" w:cs="黑体"/>
          <w:sz w:val="32"/>
          <w:szCs w:val="32"/>
        </w:rPr>
        <w:t>条　</w:t>
      </w:r>
      <w:r>
        <w:rPr>
          <w:rFonts w:hint="eastAsia" w:ascii="仿宋" w:hAnsi="仿宋" w:eastAsia="仿宋" w:cs="仿宋"/>
          <w:sz w:val="32"/>
          <w:szCs w:val="32"/>
        </w:rPr>
        <w:t>高效节水灌溉中个人（企业）使用部分和可以明确产权并移交个人（企业）负责管护的工程，管护经费原则上由其自行解决。</w:t>
      </w:r>
    </w:p>
    <w:p w14:paraId="05E79EC1">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第二十三条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县（市、区）农业农村部门负责对管护资金的管理和使用情况进行检查，确保管护资金按照相关资金管理办法规定，专款专用，并对使用情况进行公开，自觉接受监督和审计检查。任何单位和个人不得截留、挤占、挪用。</w:t>
      </w:r>
    </w:p>
    <w:p w14:paraId="2431952A">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p>
    <w:p w14:paraId="052E2D7C">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jc w:val="center"/>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第五章　监督管理</w:t>
      </w:r>
    </w:p>
    <w:p w14:paraId="239ED521">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黑体" w:hAnsi="黑体" w:eastAsia="黑体" w:cs="黑体"/>
          <w:sz w:val="32"/>
          <w:szCs w:val="32"/>
          <w:lang w:val="en-US" w:eastAsia="zh-CN"/>
        </w:rPr>
      </w:pPr>
    </w:p>
    <w:p w14:paraId="7B003F0F">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　第二十四条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高标准农田建设项目竣工验收后，应将最终认定的图斑提供自然资源部门，供自然资源部门划入永久基本农田，实行特殊保护，任何单位和个人不得损毁、擅自占用或改变用途。要及时公示管护主体、管护内容、管护标准、管护期限等信息，公布监督电话，接受群众监督。</w:t>
      </w:r>
    </w:p>
    <w:p w14:paraId="4A9CC460">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二十五</w:t>
      </w:r>
      <w:r>
        <w:rPr>
          <w:rFonts w:hint="eastAsia" w:ascii="黑体" w:hAnsi="黑体" w:eastAsia="黑体" w:cs="黑体"/>
          <w:sz w:val="32"/>
          <w:szCs w:val="32"/>
        </w:rPr>
        <w:t>条　</w:t>
      </w:r>
      <w:r>
        <w:rPr>
          <w:rFonts w:hint="eastAsia" w:ascii="仿宋" w:hAnsi="仿宋" w:eastAsia="仿宋" w:cs="仿宋"/>
          <w:sz w:val="32"/>
          <w:szCs w:val="32"/>
        </w:rPr>
        <w:t>探索合理耕作制度，加强后续培肥，防止地力下降；经流转后的农田，新型农业经营主体要采取用地与养地结合措施，确保在使用期内农田耕地质量等级不下降。</w:t>
      </w:r>
    </w:p>
    <w:p w14:paraId="37E6A84A">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sz w:val="32"/>
          <w:szCs w:val="32"/>
        </w:rPr>
      </w:pPr>
    </w:p>
    <w:p w14:paraId="500EE0E6">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第二十六条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省级农业农村部门将高标准农田工程设施管护纳入省级抽查、日常监督、耕地保护和粮食安全责任制考核等内容，结果作为项目安排、资金分配的重要依据。</w:t>
      </w:r>
    </w:p>
    <w:p w14:paraId="72EDF9FB">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州（市）农业农村部门应加强高标准农田工程设施管护工作情况监督，督促落实管护责任、主体和资金，将高标准农田建设管护工作执行情况，特别是管护经费落实情况作为对各县（市、区）人民政府农田建设考核评价的重要指标。</w:t>
      </w:r>
    </w:p>
    <w:p w14:paraId="79220C2B">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黑体" w:hAnsi="黑体" w:eastAsia="黑体" w:cs="黑体"/>
          <w:sz w:val="32"/>
          <w:szCs w:val="32"/>
          <w:lang w:val="en-US" w:eastAsia="zh-CN"/>
        </w:rPr>
      </w:pPr>
      <w:r>
        <w:rPr>
          <w:rFonts w:hint="eastAsia" w:ascii="仿宋" w:hAnsi="仿宋" w:eastAsia="仿宋" w:cs="仿宋"/>
          <w:kern w:val="2"/>
          <w:sz w:val="32"/>
          <w:szCs w:val="32"/>
          <w:lang w:val="en-US" w:eastAsia="zh-CN" w:bidi="ar-SA"/>
        </w:rPr>
        <w:t>县（市、区）农业农村部门负责高标准农田工程设施管护日常监督，及时全面掌握高标准农田工程设施管护情况，及时发现问题，督促整改，确保各类建成设施正常运行。将已实施高标准农田工程设施管护情况进行年度考核，考核结果要通报到乡镇（街道），并将考核结果作为后续安排农田建设项目的重要依据。</w:t>
      </w:r>
      <w:r>
        <w:rPr>
          <w:rFonts w:hint="eastAsia" w:ascii="黑体" w:hAnsi="黑体" w:eastAsia="黑体" w:cs="黑体"/>
          <w:sz w:val="32"/>
          <w:szCs w:val="32"/>
          <w:lang w:val="en-US" w:eastAsia="zh-CN"/>
        </w:rPr>
        <w:t>　</w:t>
      </w:r>
    </w:p>
    <w:p w14:paraId="64572874">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第二十七条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鼓励各地积极探索信息化、智能化赋能高标准农田工程设施管护，依托现有平台，实现高标准农田工程设施数量、空间位置、运行现状、管护情况等信息化管理，强化日常监管，提高管护效能。</w:t>
      </w:r>
    </w:p>
    <w:p w14:paraId="3C369B2D">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kern w:val="2"/>
          <w:sz w:val="32"/>
          <w:szCs w:val="32"/>
          <w:lang w:val="en-US" w:eastAsia="zh-CN" w:bidi="ar-SA"/>
        </w:rPr>
      </w:pPr>
      <w:r>
        <w:rPr>
          <w:rFonts w:hint="eastAsia" w:ascii="黑体" w:hAnsi="黑体" w:eastAsia="黑体" w:cs="黑体"/>
          <w:sz w:val="32"/>
          <w:szCs w:val="32"/>
          <w:lang w:val="en-US" w:eastAsia="zh-CN"/>
        </w:rPr>
        <w:t>第二十八条</w:t>
      </w:r>
      <w:r>
        <w:rPr>
          <w:rFonts w:hint="eastAsia" w:ascii="仿宋" w:hAnsi="仿宋" w:eastAsia="仿宋" w:cs="仿宋"/>
          <w:sz w:val="32"/>
          <w:szCs w:val="32"/>
          <w:lang w:val="en-US" w:eastAsia="zh-CN"/>
        </w:rPr>
        <w:t>　</w:t>
      </w:r>
      <w:r>
        <w:rPr>
          <w:rFonts w:hint="eastAsia" w:ascii="仿宋" w:hAnsi="仿宋" w:eastAsia="仿宋" w:cs="仿宋"/>
          <w:kern w:val="2"/>
          <w:sz w:val="32"/>
          <w:szCs w:val="32"/>
          <w:lang w:val="en-US" w:eastAsia="zh-CN" w:bidi="ar-SA"/>
        </w:rPr>
        <w:t>州（市）、县（市、区）农业农村部门应建立健全高标准农田工程设施管护问题发现、及时处置机制，针对群众反映、巡查发现、媒体监督等各类渠道反映问题，建立台账，及时办理。</w:t>
      </w:r>
    </w:p>
    <w:p w14:paraId="29BFA4D3">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kern w:val="2"/>
          <w:sz w:val="32"/>
          <w:szCs w:val="32"/>
          <w:lang w:val="en-US" w:eastAsia="zh-CN" w:bidi="ar-SA"/>
        </w:rPr>
      </w:pPr>
    </w:p>
    <w:p w14:paraId="3432F17C">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jc w:val="center"/>
        <w:textAlignment w:val="auto"/>
        <w:rPr>
          <w:rFonts w:hint="eastAsia" w:ascii="仿宋" w:hAnsi="仿宋" w:eastAsia="仿宋" w:cs="仿宋"/>
          <w:kern w:val="2"/>
          <w:sz w:val="32"/>
          <w:szCs w:val="32"/>
          <w:lang w:val="en-US" w:eastAsia="zh-CN" w:bidi="ar-SA"/>
        </w:rPr>
      </w:pPr>
      <w:r>
        <w:rPr>
          <w:rFonts w:hint="eastAsia" w:ascii="黑体" w:hAnsi="黑体" w:eastAsia="黑体" w:cs="黑体"/>
          <w:kern w:val="2"/>
          <w:sz w:val="32"/>
          <w:szCs w:val="32"/>
          <w:lang w:val="en-US" w:eastAsia="zh-CN" w:bidi="ar-SA"/>
        </w:rPr>
        <w:t>第六章　附　则</w:t>
      </w:r>
    </w:p>
    <w:p w14:paraId="2DB2A991">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p>
    <w:p w14:paraId="335B2265">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w:t>
      </w:r>
      <w:r>
        <w:rPr>
          <w:rFonts w:hint="eastAsia" w:ascii="黑体" w:hAnsi="黑体" w:eastAsia="黑体" w:cs="黑体"/>
          <w:sz w:val="32"/>
          <w:szCs w:val="32"/>
        </w:rPr>
        <w:t>十</w:t>
      </w:r>
      <w:r>
        <w:rPr>
          <w:rFonts w:hint="eastAsia" w:ascii="黑体" w:hAnsi="黑体" w:eastAsia="黑体" w:cs="黑体"/>
          <w:sz w:val="32"/>
          <w:szCs w:val="32"/>
          <w:lang w:val="en-US" w:eastAsia="zh-CN"/>
        </w:rPr>
        <w:t>九</w:t>
      </w:r>
      <w:r>
        <w:rPr>
          <w:rFonts w:hint="eastAsia" w:ascii="黑体" w:hAnsi="黑体" w:eastAsia="黑体" w:cs="黑体"/>
          <w:sz w:val="32"/>
          <w:szCs w:val="32"/>
        </w:rPr>
        <w:t>条　</w:t>
      </w:r>
      <w:r>
        <w:rPr>
          <w:rFonts w:hint="eastAsia" w:ascii="仿宋" w:hAnsi="仿宋" w:eastAsia="仿宋" w:cs="仿宋"/>
          <w:sz w:val="32"/>
          <w:szCs w:val="32"/>
        </w:rPr>
        <w:t>本规定自2026年10月1日起执行，《云南省农业农村厅关于印发云南省农田建设项目工程管护规定的通知》（云农规〔2022〕8号）同时废止。</w:t>
      </w:r>
    </w:p>
    <w:p w14:paraId="52809990">
      <w:pPr>
        <w:pStyle w:val="7"/>
        <w:keepNext w:val="0"/>
        <w:keepLines w:val="0"/>
        <w:pageBreakBefore w:val="0"/>
        <w:widowControl/>
        <w:suppressLineNumbers w:val="0"/>
        <w:kinsoku/>
        <w:wordWrap/>
        <w:overflowPunct/>
        <w:topLinePunct w:val="0"/>
        <w:autoSpaceDE/>
        <w:autoSpaceDN/>
        <w:bidi w:val="0"/>
        <w:adjustRightInd/>
        <w:snapToGrid/>
        <w:spacing w:line="600" w:lineRule="exact"/>
        <w:ind w:left="0" w:firstLine="420"/>
        <w:textAlignment w:val="auto"/>
        <w:rPr>
          <w:rFonts w:hint="eastAsia" w:ascii="仿宋" w:hAnsi="仿宋" w:eastAsia="仿宋" w:cs="仿宋"/>
          <w:kern w:val="2"/>
          <w:sz w:val="32"/>
          <w:szCs w:val="32"/>
          <w:lang w:val="en-US" w:eastAsia="zh-CN" w:bidi="ar-SA"/>
        </w:rPr>
      </w:pP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简体">
    <w:altName w:val="宋体"/>
    <w:panose1 w:val="02010601030101010101"/>
    <w:charset w:val="86"/>
    <w:family w:val="script"/>
    <w:pitch w:val="default"/>
    <w:sig w:usb0="00000000" w:usb1="00000000" w:usb2="00000000" w:usb3="00000000" w:csb0="00040000"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51A4">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C93F8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DC93F8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750C7BF8">
    <w:pPr>
      <w:pStyle w:val="6"/>
      <w:wordWrap w:val="0"/>
      <w:ind w:left="4788"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农业农村厅</w:t>
    </w:r>
    <w:r>
      <w:rPr>
        <w:rFonts w:hint="eastAsia" w:ascii="宋体" w:hAnsi="宋体" w:eastAsia="宋体" w:cs="宋体"/>
        <w:b/>
        <w:bCs/>
        <w:color w:val="005192"/>
        <w:sz w:val="28"/>
        <w:szCs w:val="44"/>
        <w:lang w:val="en-US" w:eastAsia="zh-CN"/>
      </w:rPr>
      <w:t>发布　　</w:t>
    </w:r>
    <w:r>
      <w:rPr>
        <w:rFonts w:hint="eastAsia" w:ascii="宋体" w:hAnsi="宋体" w:cs="宋体"/>
        <w:b/>
        <w:bCs/>
        <w:color w:val="005192"/>
        <w:sz w:val="28"/>
        <w:szCs w:val="44"/>
        <w:lang w:val="en-US" w:eastAsia="zh-CN"/>
      </w:rPr>
      <w:t>　</w:t>
    </w:r>
  </w:p>
  <w:p w14:paraId="66614661">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B1FAB">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CFEC072">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农业农村厅行政规范性文件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915512"/>
    <w:multiLevelType w:val="singleLevel"/>
    <w:tmpl w:val="18915512"/>
    <w:lvl w:ilvl="0" w:tentative="0">
      <w:start w:val="3"/>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3ZWE4MThkM2E0YjIwYWQ2YzIxM2ExNzdkYTNkZTIifQ=="/>
  </w:docVars>
  <w:rsids>
    <w:rsidRoot w:val="41271887"/>
    <w:rsid w:val="03CB34A5"/>
    <w:rsid w:val="06BA219F"/>
    <w:rsid w:val="07951898"/>
    <w:rsid w:val="13876467"/>
    <w:rsid w:val="13B7301E"/>
    <w:rsid w:val="161377E5"/>
    <w:rsid w:val="1BE77E62"/>
    <w:rsid w:val="1E262B21"/>
    <w:rsid w:val="20EC75B1"/>
    <w:rsid w:val="2122444F"/>
    <w:rsid w:val="28202EFB"/>
    <w:rsid w:val="2AB97025"/>
    <w:rsid w:val="2C1A5D88"/>
    <w:rsid w:val="2EC57D0F"/>
    <w:rsid w:val="32CD697B"/>
    <w:rsid w:val="333746BC"/>
    <w:rsid w:val="345C4804"/>
    <w:rsid w:val="3AE9474C"/>
    <w:rsid w:val="3CAE535E"/>
    <w:rsid w:val="3CF457D8"/>
    <w:rsid w:val="3E033583"/>
    <w:rsid w:val="3EC57B5F"/>
    <w:rsid w:val="3F334495"/>
    <w:rsid w:val="41271887"/>
    <w:rsid w:val="43CC5F7A"/>
    <w:rsid w:val="44594917"/>
    <w:rsid w:val="47F5693D"/>
    <w:rsid w:val="491D214E"/>
    <w:rsid w:val="4EE65781"/>
    <w:rsid w:val="50BD4270"/>
    <w:rsid w:val="58481905"/>
    <w:rsid w:val="5ACA4BCC"/>
    <w:rsid w:val="660225FB"/>
    <w:rsid w:val="67D57A24"/>
    <w:rsid w:val="69D33F82"/>
    <w:rsid w:val="6BF77D04"/>
    <w:rsid w:val="6EA83DAB"/>
    <w:rsid w:val="78516CF2"/>
    <w:rsid w:val="7CC6382B"/>
    <w:rsid w:val="7F0A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spacing w:before="100" w:beforeLines="0" w:beforeAutospacing="1" w:after="100" w:afterLines="0" w:afterAutospacing="1"/>
      <w:jc w:val="left"/>
      <w:outlineLvl w:val="1"/>
    </w:pPr>
    <w:rPr>
      <w:rFonts w:hint="eastAsia" w:ascii="宋体" w:hAnsi="宋体" w:eastAsia="宋体" w:cs="宋体"/>
      <w:b/>
      <w:kern w:val="0"/>
      <w:sz w:val="36"/>
      <w:szCs w:val="36"/>
      <w:lang w:val="en-US" w:eastAsia="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toa heading"/>
    <w:basedOn w:val="1"/>
    <w:next w:val="1"/>
    <w:qFormat/>
    <w:uiPriority w:val="0"/>
    <w:pPr>
      <w:spacing w:before="120" w:beforeLines="0" w:beforeAutospacing="0"/>
    </w:pPr>
    <w:rPr>
      <w:rFonts w:ascii="Arial" w:hAnsi="Arial"/>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Heading2"/>
    <w:basedOn w:val="1"/>
    <w:next w:val="1"/>
    <w:qFormat/>
    <w:uiPriority w:val="0"/>
    <w:pPr>
      <w:keepNext/>
      <w:keepLines/>
      <w:spacing w:line="560" w:lineRule="exact"/>
      <w:jc w:val="center"/>
      <w:textAlignment w:val="baseline"/>
    </w:pPr>
    <w:rPr>
      <w:rFonts w:ascii="Arial" w:hAnsi="Arial" w:eastAsia="方正楷体简体" w:cs="Times New Roman"/>
      <w:bCs/>
      <w:kern w:val="2"/>
      <w:sz w:val="36"/>
      <w:szCs w:val="32"/>
      <w:lang w:val="en-US" w:eastAsia="zh-CN" w:bidi="ar-SA"/>
    </w:rPr>
  </w:style>
  <w:style w:type="paragraph" w:customStyle="1" w:styleId="12">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3">
    <w:name w:val="p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
    <w:name w:val="s1"/>
    <w:basedOn w:val="9"/>
    <w:qFormat/>
    <w:uiPriority w:val="0"/>
  </w:style>
  <w:style w:type="character" w:customStyle="1" w:styleId="15">
    <w:name w:val="s2"/>
    <w:basedOn w:val="9"/>
    <w:qFormat/>
    <w:uiPriority w:val="0"/>
  </w:style>
  <w:style w:type="character" w:customStyle="1" w:styleId="16">
    <w:name w:val="font61"/>
    <w:basedOn w:val="9"/>
    <w:qFormat/>
    <w:uiPriority w:val="0"/>
    <w:rPr>
      <w:rFonts w:hint="eastAsia" w:ascii="宋体" w:hAnsi="宋体" w:eastAsia="宋体" w:cs="宋体"/>
      <w:b/>
      <w:color w:val="000000"/>
      <w:sz w:val="44"/>
      <w:szCs w:val="44"/>
      <w:u w:val="none"/>
      <w:vertAlign w:val="superscript"/>
    </w:rPr>
  </w:style>
  <w:style w:type="character" w:customStyle="1" w:styleId="17">
    <w:name w:val="font11"/>
    <w:basedOn w:val="9"/>
    <w:qFormat/>
    <w:uiPriority w:val="0"/>
    <w:rPr>
      <w:rFonts w:hint="eastAsia" w:ascii="宋体" w:hAnsi="宋体" w:eastAsia="宋体" w:cs="宋体"/>
      <w:color w:val="000000"/>
      <w:sz w:val="24"/>
      <w:szCs w:val="24"/>
      <w:u w:val="none"/>
    </w:rPr>
  </w:style>
  <w:style w:type="character" w:customStyle="1" w:styleId="18">
    <w:name w:val="font81"/>
    <w:basedOn w:val="9"/>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4339</Words>
  <Characters>4362</Characters>
  <Lines>0</Lines>
  <Paragraphs>0</Paragraphs>
  <TotalTime>1</TotalTime>
  <ScaleCrop>false</ScaleCrop>
  <LinksUpToDate>false</LinksUpToDate>
  <CharactersWithSpaces>4417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2021-12-21T02:15:00Z</dcterms:created>
  <dc:creator>Dasiy_颖</dc:creator>
  <cp:lastModifiedBy>李纹秀</cp:lastModifiedBy>
  <dcterms:modified xsi:type="dcterms:W3CDTF">2026-09-03T09:07:38Z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14824A38E03B463FB5355949A0C8B00A_13</vt:lpwstr>
  </property>
  <property fmtid="{D5CDD505-2E9C-101B-9397-08002B2CF9AE}" pid="4" name="KSOTemplateDocerSaveRecord">
    <vt:lpwstr>eyJoZGlkIjoiMmE3OTZkZDVkMzliNmM4OThlNTFhNDU0OGYxMTE5NzkiLCJ1c2VySWQiOiIyNzY2MTE3MDYifQ==</vt:lpwstr>
  </property>
</Properties>
</file>