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76661">
      <w:pPr>
        <w:pStyle w:val="12"/>
        <w:spacing w:line="360" w:lineRule="auto"/>
        <w:jc w:val="center"/>
        <w:outlineLvl w:val="0"/>
      </w:pPr>
      <w:bookmarkStart w:id="0" w:name="_GoBack"/>
      <w:bookmarkEnd w:id="0"/>
      <w:r>
        <w:rPr>
          <w:rFonts w:ascii="仿宋_GB2312" w:hAnsi="仿宋_GB2312" w:eastAsia="仿宋_GB2312" w:cs="仿宋_GB2312"/>
          <w:b/>
          <w:sz w:val="48"/>
        </w:rPr>
        <w:t>评</w:t>
      </w:r>
      <w:r>
        <w:rPr>
          <w:rFonts w:hint="eastAsia" w:cs="仿宋_GB2312"/>
          <w:b/>
          <w:sz w:val="48"/>
          <w:lang w:val="en-US" w:eastAsia="zh-CN"/>
        </w:rPr>
        <w:t>分</w:t>
      </w:r>
      <w:r>
        <w:rPr>
          <w:rFonts w:ascii="仿宋_GB2312" w:hAnsi="仿宋_GB2312" w:eastAsia="仿宋_GB2312" w:cs="仿宋_GB2312"/>
          <w:b/>
          <w:sz w:val="48"/>
        </w:rPr>
        <w:t>标准</w:t>
      </w:r>
    </w:p>
    <w:p w14:paraId="11A96EC4">
      <w:pPr>
        <w:pStyle w:val="12"/>
        <w:spacing w:line="360" w:lineRule="auto"/>
        <w:ind w:firstLineChars="200"/>
        <w:jc w:val="both"/>
      </w:pPr>
      <w:r>
        <w:rPr>
          <w:rFonts w:ascii="仿宋_GB2312" w:hAnsi="仿宋_GB2312" w:eastAsia="仿宋_GB2312" w:cs="仿宋_GB2312"/>
          <w:b/>
          <w:color w:val="000000"/>
          <w:sz w:val="28"/>
        </w:rPr>
        <w:t>一、总则</w:t>
      </w:r>
    </w:p>
    <w:p w14:paraId="6A19D310">
      <w:pPr>
        <w:pStyle w:val="12"/>
        <w:spacing w:line="360" w:lineRule="auto"/>
        <w:ind w:firstLineChars="200"/>
        <w:jc w:val="both"/>
      </w:pPr>
      <w:r>
        <w:rPr>
          <w:rFonts w:ascii="仿宋_GB2312" w:hAnsi="仿宋_GB2312" w:eastAsia="仿宋_GB2312" w:cs="仿宋_GB2312"/>
          <w:color w:val="000000"/>
          <w:sz w:val="28"/>
        </w:rPr>
        <w:t>1.本评分标准适用于“</w:t>
      </w:r>
      <w:r>
        <w:rPr>
          <w:rFonts w:hint="eastAsia" w:ascii="方正仿宋_GBK" w:hAnsi="方正仿宋_GBK" w:eastAsia="方正仿宋_GBK" w:cs="方正仿宋_GBK"/>
          <w:color w:val="000000"/>
          <w:sz w:val="32"/>
          <w:szCs w:val="32"/>
        </w:rPr>
        <w:t>云南省渔业科学研究院关于</w:t>
      </w:r>
      <w:r>
        <w:rPr>
          <w:rFonts w:hint="eastAsia" w:ascii="方正仿宋_GBK" w:hAnsi="方正仿宋_GBK" w:eastAsia="方正仿宋_GBK" w:cs="方正仿宋_GBK"/>
          <w:color w:val="000000"/>
          <w:sz w:val="32"/>
          <w:szCs w:val="32"/>
          <w:lang w:val="en-US" w:eastAsia="zh-CN"/>
        </w:rPr>
        <w:t>长江流域重点水域水生生物资源监测</w:t>
      </w:r>
      <w:r>
        <w:rPr>
          <w:rFonts w:hint="eastAsia" w:ascii="方正仿宋_GBK" w:hAnsi="方正仿宋_GBK" w:eastAsia="方正仿宋_GBK" w:cs="方正仿宋_GBK"/>
          <w:color w:val="000000"/>
          <w:sz w:val="32"/>
          <w:szCs w:val="32"/>
        </w:rPr>
        <w:t>等项目专用材料采购</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lang w:val="en-US" w:eastAsia="zh-CN"/>
        </w:rPr>
        <w:t>二次</w:t>
      </w:r>
      <w:r>
        <w:rPr>
          <w:rFonts w:hint="eastAsia" w:ascii="方正仿宋_GBK" w:hAnsi="方正仿宋_GBK" w:eastAsia="方正仿宋_GBK" w:cs="方正仿宋_GBK"/>
          <w:color w:val="000000"/>
          <w:sz w:val="32"/>
          <w:szCs w:val="32"/>
          <w:lang w:eastAsia="zh-CN"/>
        </w:rPr>
        <w:t>）</w:t>
      </w:r>
      <w:r>
        <w:rPr>
          <w:rFonts w:ascii="仿宋_GB2312" w:hAnsi="仿宋_GB2312" w:eastAsia="仿宋_GB2312" w:cs="仿宋_GB2312"/>
          <w:color w:val="000000"/>
          <w:sz w:val="28"/>
        </w:rPr>
        <w:t>”项目。本项目采用公开比选方式，评审方法为综合评分法。</w:t>
      </w:r>
    </w:p>
    <w:p w14:paraId="5DAB0888">
      <w:pPr>
        <w:pStyle w:val="12"/>
        <w:spacing w:line="360" w:lineRule="auto"/>
        <w:ind w:firstLineChars="200"/>
        <w:jc w:val="both"/>
      </w:pPr>
      <w:r>
        <w:rPr>
          <w:rFonts w:ascii="仿宋_GB2312" w:hAnsi="仿宋_GB2312" w:eastAsia="仿宋_GB2312" w:cs="仿宋_GB2312"/>
          <w:color w:val="000000"/>
          <w:sz w:val="28"/>
        </w:rPr>
        <w:t>2.评审工作由采购人依法组建的评审委员会负责。评审委员会成员应当客观、公正地履行职务，遵守职业道德，对所提出的评审意见承担个人责任。</w:t>
      </w:r>
    </w:p>
    <w:p w14:paraId="34A66FEC">
      <w:pPr>
        <w:pStyle w:val="12"/>
        <w:spacing w:line="360" w:lineRule="auto"/>
        <w:ind w:firstLineChars="200"/>
        <w:jc w:val="both"/>
      </w:pPr>
      <w:r>
        <w:rPr>
          <w:rFonts w:ascii="仿宋_GB2312" w:hAnsi="仿宋_GB2312" w:eastAsia="仿宋_GB2312" w:cs="仿宋_GB2312"/>
          <w:color w:val="000000"/>
          <w:sz w:val="28"/>
        </w:rPr>
        <w:t>3.评审依据为本采购文件及供应商提交的响应文件。除本评分标准规定的评审因素和分值外，不得引入其他任何未公开的评审因素或标准。</w:t>
      </w:r>
    </w:p>
    <w:p w14:paraId="06488BF1">
      <w:pPr>
        <w:pStyle w:val="12"/>
        <w:spacing w:line="360" w:lineRule="auto"/>
        <w:ind w:firstLineChars="200"/>
        <w:jc w:val="both"/>
      </w:pPr>
      <w:r>
        <w:rPr>
          <w:rFonts w:ascii="仿宋_GB2312" w:hAnsi="仿宋_GB2312" w:eastAsia="仿宋_GB2312" w:cs="仿宋_GB2312"/>
          <w:color w:val="000000"/>
          <w:sz w:val="28"/>
        </w:rPr>
        <w:t>4.本项目预算金额为人民币189,880.00元（大写：壹拾捌万玖仟捌佰捌拾元整）。供应商报价不得超过总预算金额，且各子项目分项报价不得超过对应子项目预算金额（金沙江监测项目48,000.00元、保护区调查项目20,300.00元、极小种群研究项目55,000.00元、重要渔业水域生态环境及渔业资源监测项目27,580.00元、澜沧江（云南段）渔业生态环境监测项目39,000.00元）。超过上述任一限额的响应文件，按无效响应处理。</w:t>
      </w:r>
    </w:p>
    <w:p w14:paraId="04CBCDD7">
      <w:pPr>
        <w:pStyle w:val="12"/>
        <w:spacing w:line="360" w:lineRule="auto"/>
        <w:ind w:firstLineChars="200"/>
        <w:jc w:val="both"/>
      </w:pPr>
      <w:r>
        <w:rPr>
          <w:rFonts w:ascii="仿宋_GB2312" w:hAnsi="仿宋_GB2312" w:eastAsia="仿宋_GB2312" w:cs="仿宋_GB2312"/>
          <w:b/>
          <w:color w:val="000000"/>
          <w:sz w:val="28"/>
        </w:rPr>
        <w:t>二、资格性与符合性审查</w:t>
      </w:r>
    </w:p>
    <w:p w14:paraId="4323CCE2">
      <w:pPr>
        <w:pStyle w:val="12"/>
        <w:spacing w:line="360" w:lineRule="auto"/>
        <w:ind w:firstLineChars="200"/>
        <w:jc w:val="both"/>
      </w:pPr>
      <w:r>
        <w:rPr>
          <w:rFonts w:ascii="仿宋_GB2312" w:hAnsi="仿宋_GB2312" w:eastAsia="仿宋_GB2312" w:cs="仿宋_GB2312"/>
          <w:color w:val="000000"/>
          <w:sz w:val="28"/>
        </w:rPr>
        <w:t>在进入详细评审前，评审委员会首先对供应商进行资格性和符合性审查。只有通过审查的供应商方可进入后续评分环节。</w:t>
      </w:r>
    </w:p>
    <w:p w14:paraId="1F5B39C7">
      <w:pPr>
        <w:pStyle w:val="12"/>
        <w:spacing w:line="360" w:lineRule="auto"/>
        <w:ind w:firstLineChars="200"/>
        <w:jc w:val="both"/>
      </w:pPr>
      <w:r>
        <w:rPr>
          <w:rFonts w:ascii="仿宋_GB2312" w:hAnsi="仿宋_GB2312" w:eastAsia="仿宋_GB2312" w:cs="仿宋_GB2312"/>
          <w:color w:val="000000"/>
          <w:sz w:val="28"/>
        </w:rPr>
        <w:t>1.资格审查内容：</w:t>
      </w:r>
    </w:p>
    <w:p w14:paraId="2BE3DAD2">
      <w:pPr>
        <w:pStyle w:val="12"/>
        <w:spacing w:line="360" w:lineRule="auto"/>
        <w:ind w:firstLineChars="200"/>
        <w:jc w:val="both"/>
      </w:pPr>
      <w:r>
        <w:rPr>
          <w:rFonts w:ascii="仿宋_GB2312" w:hAnsi="仿宋_GB2312" w:eastAsia="仿宋_GB2312" w:cs="仿宋_GB2312"/>
          <w:color w:val="000000"/>
          <w:sz w:val="28"/>
        </w:rPr>
        <w:t>（1）供应商须具备《中华人民共和国政府采购法》第二十二条规定的条件，提供营业执照或其他合法有效证明文件（不强制要求独立法人资格，个体工商户、合伙企业等均可参加）。</w:t>
      </w:r>
    </w:p>
    <w:p w14:paraId="1868CF38">
      <w:pPr>
        <w:pStyle w:val="12"/>
        <w:spacing w:line="360" w:lineRule="auto"/>
        <w:ind w:firstLineChars="200"/>
        <w:jc w:val="both"/>
      </w:pPr>
      <w:r>
        <w:rPr>
          <w:rFonts w:ascii="仿宋_GB2312" w:hAnsi="仿宋_GB2312" w:eastAsia="仿宋_GB2312" w:cs="仿宋_GB2312"/>
          <w:color w:val="000000"/>
          <w:sz w:val="28"/>
        </w:rPr>
        <w:t>（2）提供具有良好的商业信誉和健全的财务会计制度的证明材料（近财务报表、银行资信证明或加盖公章的承诺函）。</w:t>
      </w:r>
    </w:p>
    <w:p w14:paraId="4EB488A2">
      <w:pPr>
        <w:pStyle w:val="12"/>
        <w:spacing w:line="360" w:lineRule="auto"/>
        <w:ind w:firstLineChars="200"/>
        <w:jc w:val="both"/>
      </w:pPr>
      <w:r>
        <w:rPr>
          <w:rFonts w:ascii="仿宋_GB2312" w:hAnsi="仿宋_GB2312" w:eastAsia="仿宋_GB2312" w:cs="仿宋_GB2312"/>
          <w:color w:val="000000"/>
          <w:sz w:val="28"/>
        </w:rPr>
        <w:t>（3）提供具有履行合同所必需的设备和专业技术能力的书面承诺函。涉及管制化学品（如甲醛、碘等）供应的，须提供相应的危险化学品经营许可证或相关资质证明；涉及医疗器械类耗材（如手术剪、注射器等）供应的，须提供相应的经营备案凭证或注册证复印件。</w:t>
      </w:r>
    </w:p>
    <w:p w14:paraId="1D2126F6">
      <w:pPr>
        <w:pStyle w:val="12"/>
        <w:spacing w:line="360" w:lineRule="auto"/>
        <w:ind w:firstLineChars="200"/>
        <w:jc w:val="both"/>
      </w:pPr>
      <w:r>
        <w:rPr>
          <w:rFonts w:ascii="仿宋_GB2312" w:hAnsi="仿宋_GB2312" w:eastAsia="仿宋_GB2312" w:cs="仿宋_GB2312"/>
          <w:color w:val="000000"/>
          <w:sz w:val="28"/>
        </w:rPr>
        <w:t>（4）提供依法缴纳税收和社会保障资金的良好记录（近6个月内任意1个月的纳税证明、社保缴纳凭证或免税/免缴证明）。</w:t>
      </w:r>
    </w:p>
    <w:p w14:paraId="2DBD9650">
      <w:pPr>
        <w:pStyle w:val="12"/>
        <w:spacing w:line="360" w:lineRule="auto"/>
        <w:ind w:firstLineChars="200"/>
        <w:jc w:val="both"/>
      </w:pPr>
      <w:r>
        <w:rPr>
          <w:rFonts w:ascii="仿宋_GB2312" w:hAnsi="仿宋_GB2312" w:eastAsia="仿宋_GB2312" w:cs="仿宋_GB2312"/>
          <w:color w:val="000000"/>
          <w:sz w:val="28"/>
        </w:rPr>
        <w:t>（5）提供参加政府采购活动前3年内无重大违法记录的书面声明。</w:t>
      </w:r>
    </w:p>
    <w:p w14:paraId="7CD1B089">
      <w:pPr>
        <w:pStyle w:val="12"/>
        <w:spacing w:line="360" w:lineRule="auto"/>
        <w:ind w:firstLineChars="200"/>
        <w:jc w:val="both"/>
      </w:pPr>
      <w:r>
        <w:rPr>
          <w:rFonts w:ascii="仿宋_GB2312" w:hAnsi="仿宋_GB2312" w:eastAsia="仿宋_GB2312" w:cs="仿宋_GB2312"/>
          <w:color w:val="000000"/>
          <w:sz w:val="28"/>
        </w:rPr>
        <w:t>（6）提供未被列入“信用中国”网站失信被执行人名单、重大税收违法失信主体，以及未被列入中国政府采购网政府采购严重违法失信行为记录名单的查询截图（公告发布之日起至响应文件递交截止日前）。</w:t>
      </w:r>
    </w:p>
    <w:p w14:paraId="6A5A9009">
      <w:pPr>
        <w:pStyle w:val="12"/>
        <w:spacing w:line="360" w:lineRule="auto"/>
        <w:ind w:firstLineChars="200"/>
        <w:jc w:val="both"/>
      </w:pPr>
      <w:r>
        <w:rPr>
          <w:rFonts w:ascii="仿宋_GB2312" w:hAnsi="仿宋_GB2312" w:eastAsia="仿宋_GB2312" w:cs="仿宋_GB2312"/>
          <w:color w:val="000000"/>
          <w:sz w:val="28"/>
        </w:rPr>
        <w:t>2.符合性审查内容：</w:t>
      </w:r>
    </w:p>
    <w:p w14:paraId="4C8E35CA">
      <w:pPr>
        <w:pStyle w:val="12"/>
        <w:spacing w:line="360" w:lineRule="auto"/>
        <w:ind w:firstLineChars="200"/>
        <w:jc w:val="both"/>
      </w:pPr>
      <w:r>
        <w:rPr>
          <w:rFonts w:ascii="仿宋_GB2312" w:hAnsi="仿宋_GB2312" w:eastAsia="仿宋_GB2312" w:cs="仿宋_GB2312"/>
          <w:color w:val="000000"/>
          <w:sz w:val="28"/>
        </w:rPr>
        <w:t>（1）响应文件格式符合要求，签字盖章齐全。</w:t>
      </w:r>
    </w:p>
    <w:p w14:paraId="518C7B7F">
      <w:pPr>
        <w:pStyle w:val="12"/>
        <w:spacing w:line="360" w:lineRule="auto"/>
        <w:ind w:firstLineChars="200"/>
        <w:jc w:val="both"/>
      </w:pPr>
      <w:r>
        <w:rPr>
          <w:rFonts w:ascii="仿宋_GB2312" w:hAnsi="仿宋_GB2312" w:eastAsia="仿宋_GB2312" w:cs="仿宋_GB2312"/>
          <w:color w:val="000000"/>
          <w:sz w:val="28"/>
        </w:rPr>
        <w:t>（2）报价唯一，且未超过预算金额及分项预算限额。</w:t>
      </w:r>
    </w:p>
    <w:p w14:paraId="2B7AD0B2">
      <w:pPr>
        <w:pStyle w:val="12"/>
        <w:spacing w:line="360" w:lineRule="auto"/>
        <w:ind w:firstLineChars="200"/>
        <w:jc w:val="both"/>
      </w:pPr>
      <w:r>
        <w:rPr>
          <w:rFonts w:ascii="仿宋_GB2312" w:hAnsi="仿宋_GB2312" w:eastAsia="仿宋_GB2312" w:cs="仿宋_GB2312"/>
          <w:color w:val="000000"/>
          <w:sz w:val="28"/>
        </w:rPr>
        <w:t>（3）实质性条款响应完全满足采购需求，无负偏离。</w:t>
      </w:r>
    </w:p>
    <w:p w14:paraId="730A828F">
      <w:pPr>
        <w:pStyle w:val="12"/>
        <w:spacing w:line="360" w:lineRule="auto"/>
        <w:ind w:firstLineChars="200"/>
        <w:jc w:val="both"/>
      </w:pPr>
      <w:r>
        <w:rPr>
          <w:rFonts w:ascii="仿宋_GB2312" w:hAnsi="仿宋_GB2312" w:eastAsia="仿宋_GB2312" w:cs="仿宋_GB2312"/>
          <w:color w:val="000000"/>
          <w:sz w:val="28"/>
        </w:rPr>
        <w:t>（4）交货期、质保期等关键商务条款符合采购文件规定。</w:t>
      </w:r>
    </w:p>
    <w:p w14:paraId="3D3C2D4F">
      <w:pPr>
        <w:pStyle w:val="12"/>
        <w:spacing w:line="360" w:lineRule="auto"/>
        <w:ind w:firstLineChars="200"/>
        <w:jc w:val="both"/>
      </w:pPr>
      <w:r>
        <w:rPr>
          <w:rFonts w:ascii="仿宋_GB2312" w:hAnsi="仿宋_GB2312" w:eastAsia="仿宋_GB2312" w:cs="仿宋_GB2312"/>
          <w:b/>
          <w:color w:val="000000"/>
          <w:sz w:val="28"/>
        </w:rPr>
        <w:t>三、综合评分细则</w:t>
      </w:r>
    </w:p>
    <w:p w14:paraId="69A19BF0">
      <w:pPr>
        <w:pStyle w:val="12"/>
        <w:spacing w:line="360" w:lineRule="auto"/>
        <w:ind w:firstLineChars="200"/>
        <w:jc w:val="both"/>
      </w:pPr>
      <w:r>
        <w:rPr>
          <w:rFonts w:ascii="仿宋_GB2312" w:hAnsi="仿宋_GB2312" w:eastAsia="仿宋_GB2312" w:cs="仿宋_GB2312"/>
          <w:color w:val="000000"/>
          <w:sz w:val="28"/>
        </w:rPr>
        <w:t>本项目采用综合评分法，总分100分。其中价格分占30分，技术分占50分，商务分占20分。评审得分最高的供应商为成交候选人。</w:t>
      </w:r>
    </w:p>
    <w:p w14:paraId="7A4A6BF0">
      <w:pPr>
        <w:pStyle w:val="12"/>
        <w:spacing w:line="360" w:lineRule="auto"/>
        <w:ind w:firstLineChars="200"/>
        <w:jc w:val="both"/>
      </w:pPr>
      <w:r>
        <w:rPr>
          <w:rFonts w:ascii="仿宋_GB2312" w:hAnsi="仿宋_GB2312" w:eastAsia="仿宋_GB2312" w:cs="仿宋_GB2312"/>
          <w:b/>
          <w:color w:val="000000"/>
          <w:sz w:val="28"/>
        </w:rPr>
        <w:t>（一）价格部分（30分）</w:t>
      </w:r>
    </w:p>
    <w:p w14:paraId="12D6623B">
      <w:pPr>
        <w:pStyle w:val="12"/>
        <w:spacing w:line="360" w:lineRule="auto"/>
        <w:ind w:firstLineChars="200"/>
        <w:jc w:val="both"/>
      </w:pPr>
      <w:r>
        <w:rPr>
          <w:rFonts w:ascii="仿宋_GB2312" w:hAnsi="仿宋_GB2312" w:eastAsia="仿宋_GB2312" w:cs="仿宋_GB2312"/>
          <w:color w:val="000000"/>
          <w:sz w:val="28"/>
        </w:rPr>
        <w:t>1.评标基准价计算：</w:t>
      </w:r>
    </w:p>
    <w:p w14:paraId="4FAE9F74">
      <w:pPr>
        <w:pStyle w:val="12"/>
        <w:spacing w:line="360" w:lineRule="auto"/>
        <w:ind w:firstLineChars="200"/>
        <w:jc w:val="both"/>
      </w:pPr>
      <w:r>
        <w:rPr>
          <w:rFonts w:ascii="仿宋_GB2312" w:hAnsi="仿宋_GB2312" w:eastAsia="仿宋_GB2312" w:cs="仿宋_GB2312"/>
          <w:color w:val="000000"/>
          <w:sz w:val="28"/>
        </w:rPr>
        <w:t>满足采购文件要求且投标价格最低的投标报价为评标基准价，其价格分为满分30分。其他供应商的价格分统一按照下列公式计算：</w:t>
      </w:r>
    </w:p>
    <w:p w14:paraId="4FDC0D74">
      <w:pPr>
        <w:pStyle w:val="12"/>
        <w:spacing w:line="360" w:lineRule="auto"/>
        <w:ind w:firstLineChars="200"/>
        <w:jc w:val="both"/>
      </w:pPr>
      <w:r>
        <w:rPr>
          <w:rFonts w:ascii="仿宋_GB2312" w:hAnsi="仿宋_GB2312" w:eastAsia="仿宋_GB2312" w:cs="仿宋_GB2312"/>
          <w:color w:val="000000"/>
          <w:sz w:val="28"/>
        </w:rPr>
        <w:t>投标报价得分 = (评标基准价 / 投标报价) × 30</w:t>
      </w:r>
    </w:p>
    <w:p w14:paraId="508BE04A">
      <w:pPr>
        <w:pStyle w:val="12"/>
        <w:spacing w:line="360" w:lineRule="auto"/>
        <w:ind w:firstLineChars="200"/>
        <w:jc w:val="both"/>
      </w:pPr>
      <w:r>
        <w:rPr>
          <w:rFonts w:ascii="仿宋_GB2312" w:hAnsi="仿宋_GB2312" w:eastAsia="仿宋_GB2312" w:cs="仿宋_GB2312"/>
          <w:color w:val="000000"/>
          <w:sz w:val="28"/>
        </w:rPr>
        <w:t>2.异常低价审查：</w:t>
      </w:r>
    </w:p>
    <w:p w14:paraId="076B917F">
      <w:pPr>
        <w:pStyle w:val="12"/>
        <w:spacing w:line="360" w:lineRule="auto"/>
        <w:ind w:firstLineChars="200"/>
        <w:jc w:val="both"/>
      </w:pPr>
      <w:r>
        <w:rPr>
          <w:rFonts w:ascii="仿宋_GB2312" w:hAnsi="仿宋_GB2312" w:eastAsia="仿宋_GB2312" w:cs="仿宋_GB2312"/>
          <w:color w:val="000000"/>
          <w:sz w:val="28"/>
        </w:rPr>
        <w:t>根据《政府采购货物和服务招标投标管理办法》第六十条规定，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333E0DF5">
      <w:pPr>
        <w:pStyle w:val="12"/>
        <w:spacing w:line="360" w:lineRule="auto"/>
        <w:ind w:firstLineChars="200"/>
        <w:jc w:val="both"/>
      </w:pPr>
      <w:r>
        <w:rPr>
          <w:rFonts w:ascii="仿宋_GB2312" w:hAnsi="仿宋_GB2312" w:eastAsia="仿宋_GB2312" w:cs="仿宋_GB2312"/>
          <w:color w:val="000000"/>
          <w:sz w:val="28"/>
        </w:rPr>
        <w:t>3.中小企业价格扣除：</w:t>
      </w:r>
    </w:p>
    <w:p w14:paraId="3BE738B4">
      <w:pPr>
        <w:pStyle w:val="12"/>
        <w:spacing w:line="360" w:lineRule="auto"/>
        <w:ind w:firstLineChars="200"/>
        <w:jc w:val="both"/>
      </w:pPr>
      <w:r>
        <w:rPr>
          <w:rFonts w:ascii="仿宋_GB2312" w:hAnsi="仿宋_GB2312" w:eastAsia="仿宋_GB2312" w:cs="仿宋_GB2312"/>
          <w:color w:val="000000"/>
          <w:sz w:val="28"/>
        </w:rPr>
        <w:t>根据《关于印发〈政府采购促进中小企业发展管理办法〉的通知》第九条规定，对于经主管预算单位统筹后未预留份额专门面向中小企业采购的采购项目，采购人应当对符合规定的小微企业报价给予6%—10%的扣除，用扣除后的价格参加评审。具体扣除比例确定为10%。</w:t>
      </w:r>
    </w:p>
    <w:p w14:paraId="5ABCFDA5">
      <w:pPr>
        <w:pStyle w:val="12"/>
        <w:spacing w:line="360" w:lineRule="auto"/>
        <w:ind w:firstLineChars="200"/>
        <w:jc w:val="both"/>
      </w:pPr>
      <w:r>
        <w:rPr>
          <w:rFonts w:ascii="仿宋_GB2312" w:hAnsi="仿宋_GB2312" w:eastAsia="仿宋_GB2312" w:cs="仿宋_GB2312"/>
          <w:color w:val="000000"/>
          <w:sz w:val="28"/>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2%－3%的扣除，用扣除后的价格参加评审。具体扣除比例确定为3%。</w:t>
      </w:r>
    </w:p>
    <w:p w14:paraId="071D4630">
      <w:pPr>
        <w:pStyle w:val="12"/>
        <w:spacing w:line="360" w:lineRule="auto"/>
        <w:ind w:firstLineChars="200"/>
        <w:jc w:val="both"/>
      </w:pPr>
      <w:r>
        <w:rPr>
          <w:rFonts w:ascii="仿宋_GB2312" w:hAnsi="仿宋_GB2312" w:eastAsia="仿宋_GB2312" w:cs="仿宋_GB2312"/>
          <w:color w:val="000000"/>
          <w:sz w:val="28"/>
        </w:rPr>
        <w:t>注：价格扣除仅用于计算价格分，不影响中标/成交价格。</w:t>
      </w:r>
    </w:p>
    <w:p w14:paraId="67E6C98F">
      <w:pPr>
        <w:pStyle w:val="12"/>
        <w:spacing w:line="360" w:lineRule="auto"/>
        <w:ind w:firstLineChars="200"/>
        <w:jc w:val="both"/>
      </w:pPr>
      <w:r>
        <w:rPr>
          <w:rFonts w:ascii="仿宋_GB2312" w:hAnsi="仿宋_GB2312" w:eastAsia="仿宋_GB2312" w:cs="仿宋_GB2312"/>
          <w:b/>
          <w:color w:val="000000"/>
          <w:sz w:val="28"/>
        </w:rPr>
        <w:t>（二）技术部分（50分）</w:t>
      </w:r>
    </w:p>
    <w:p w14:paraId="70AFDC1F">
      <w:pPr>
        <w:pStyle w:val="12"/>
        <w:spacing w:line="360" w:lineRule="auto"/>
        <w:ind w:firstLineChars="200"/>
        <w:jc w:val="both"/>
      </w:pPr>
      <w:r>
        <w:rPr>
          <w:rFonts w:ascii="仿宋_GB2312" w:hAnsi="仿宋_GB2312" w:eastAsia="仿宋_GB2312" w:cs="仿宋_GB2312"/>
          <w:color w:val="000000"/>
          <w:sz w:val="28"/>
        </w:rPr>
        <w:t>技术部分主要评审供应商所投产品的技术参数响应程度、质量保障能力及合规性。评审因素量化如下：</w:t>
      </w:r>
    </w:p>
    <w:p w14:paraId="581107A2">
      <w:pPr>
        <w:pStyle w:val="12"/>
        <w:spacing w:line="360" w:lineRule="auto"/>
        <w:ind w:firstLineChars="200"/>
        <w:jc w:val="both"/>
      </w:pPr>
      <w:r>
        <w:rPr>
          <w:rFonts w:ascii="仿宋_GB2312" w:hAnsi="仿宋_GB2312" w:eastAsia="仿宋_GB2312" w:cs="仿宋_GB2312"/>
          <w:color w:val="000000"/>
          <w:sz w:val="28"/>
        </w:rPr>
        <w:t>1.产品参数响应情况（30分）</w:t>
      </w:r>
    </w:p>
    <w:p w14:paraId="7229AB8F">
      <w:pPr>
        <w:pStyle w:val="12"/>
        <w:spacing w:line="360" w:lineRule="auto"/>
        <w:ind w:firstLineChars="200"/>
        <w:jc w:val="both"/>
      </w:pPr>
      <w:r>
        <w:rPr>
          <w:rFonts w:ascii="仿宋_GB2312" w:hAnsi="仿宋_GB2312" w:eastAsia="仿宋_GB2312" w:cs="仿宋_GB2312"/>
          <w:color w:val="000000"/>
          <w:sz w:val="28"/>
        </w:rPr>
        <w:t>以采购需求中列明的规格参数为基准，逐项核对供应商提供的产品技术参数表。</w:t>
      </w:r>
    </w:p>
    <w:p w14:paraId="5D759A3E">
      <w:pPr>
        <w:pStyle w:val="12"/>
        <w:spacing w:line="360" w:lineRule="auto"/>
        <w:ind w:firstLineChars="200"/>
        <w:jc w:val="both"/>
      </w:pPr>
      <w:r>
        <w:rPr>
          <w:rFonts w:ascii="仿宋_GB2312" w:hAnsi="仿宋_GB2312" w:eastAsia="仿宋_GB2312" w:cs="仿宋_GB2312"/>
          <w:color w:val="000000"/>
          <w:sz w:val="28"/>
        </w:rPr>
        <w:t>（1）完全响应：所有产品技术参数均满足或优于采购需求中的最低技术要求，得30分。</w:t>
      </w:r>
    </w:p>
    <w:p w14:paraId="0E1E97D2">
      <w:pPr>
        <w:pStyle w:val="12"/>
        <w:spacing w:line="360" w:lineRule="auto"/>
        <w:ind w:firstLineChars="200"/>
        <w:jc w:val="both"/>
      </w:pPr>
      <w:r>
        <w:rPr>
          <w:rFonts w:ascii="仿宋_GB2312" w:hAnsi="仿宋_GB2312" w:eastAsia="仿宋_GB2312" w:cs="仿宋_GB2312"/>
          <w:color w:val="000000"/>
          <w:sz w:val="28"/>
        </w:rPr>
        <w:t>（2）负偏离扣分：每有一项产品技术参数低于采购需求要求（即负偏离），扣2分，扣完为止。</w:t>
      </w:r>
    </w:p>
    <w:p w14:paraId="3447F950">
      <w:pPr>
        <w:pStyle w:val="12"/>
        <w:spacing w:line="360" w:lineRule="auto"/>
        <w:ind w:firstLineChars="200"/>
        <w:jc w:val="both"/>
      </w:pPr>
      <w:r>
        <w:rPr>
          <w:rFonts w:ascii="仿宋_GB2312" w:hAnsi="仿宋_GB2312" w:eastAsia="仿宋_GB2312" w:cs="仿宋_GB2312"/>
          <w:color w:val="000000"/>
          <w:sz w:val="28"/>
        </w:rPr>
        <w:t>（3）特别说明：采购需求中</w:t>
      </w:r>
      <w:r>
        <w:rPr>
          <w:rFonts w:hint="eastAsia" w:cs="仿宋_GB2312"/>
          <w:color w:val="000000"/>
          <w:sz w:val="28"/>
          <w:lang w:val="en-US" w:eastAsia="zh-CN"/>
        </w:rPr>
        <w:t>若</w:t>
      </w:r>
      <w:r>
        <w:rPr>
          <w:rFonts w:ascii="仿宋_GB2312" w:hAnsi="仿宋_GB2312" w:eastAsia="仿宋_GB2312" w:cs="仿宋_GB2312"/>
          <w:color w:val="000000"/>
          <w:sz w:val="28"/>
        </w:rPr>
        <w:t>出现</w:t>
      </w:r>
      <w:r>
        <w:rPr>
          <w:rFonts w:hint="eastAsia" w:cs="仿宋_GB2312"/>
          <w:color w:val="000000"/>
          <w:sz w:val="28"/>
          <w:lang w:val="en-US" w:eastAsia="zh-CN"/>
        </w:rPr>
        <w:t>相关</w:t>
      </w:r>
      <w:r>
        <w:rPr>
          <w:rFonts w:ascii="仿宋_GB2312" w:hAnsi="仿宋_GB2312" w:eastAsia="仿宋_GB2312" w:cs="仿宋_GB2312"/>
          <w:color w:val="000000"/>
          <w:sz w:val="28"/>
        </w:rPr>
        <w:t>品牌型号</w:t>
      </w:r>
      <w:r>
        <w:rPr>
          <w:rFonts w:hint="eastAsia" w:cs="仿宋_GB2312"/>
          <w:color w:val="000000"/>
          <w:sz w:val="28"/>
          <w:lang w:eastAsia="zh-CN"/>
        </w:rPr>
        <w:t>，</w:t>
      </w:r>
      <w:r>
        <w:rPr>
          <w:rFonts w:ascii="仿宋_GB2312" w:hAnsi="仿宋_GB2312" w:eastAsia="仿宋_GB2312" w:cs="仿宋_GB2312"/>
          <w:color w:val="000000"/>
          <w:sz w:val="28"/>
        </w:rPr>
        <w:t>仅作为技术参数参考，不作为指定品牌。供应商提供同等性能、规格参数的其他品牌产品视为完全响应。采购需求中“进口优先”表述在评审中转化为中性技术指标考量，即若国产产品与进口产品在核心性能指标上无差异，均视为完全响应，不因产地不同而加分或减分，确保公平竞争。</w:t>
      </w:r>
    </w:p>
    <w:p w14:paraId="63F66E98">
      <w:pPr>
        <w:pStyle w:val="12"/>
        <w:spacing w:line="360" w:lineRule="auto"/>
        <w:ind w:firstLineChars="200"/>
        <w:jc w:val="both"/>
      </w:pPr>
      <w:r>
        <w:rPr>
          <w:rFonts w:ascii="仿宋_GB2312" w:hAnsi="仿宋_GB2312" w:eastAsia="仿宋_GB2312" w:cs="仿宋_GB2312"/>
          <w:color w:val="000000"/>
          <w:sz w:val="28"/>
        </w:rPr>
        <w:t>2.产品质量与安全认证（10分）</w:t>
      </w:r>
    </w:p>
    <w:p w14:paraId="6EE8C832">
      <w:pPr>
        <w:pStyle w:val="12"/>
        <w:spacing w:line="360" w:lineRule="auto"/>
        <w:ind w:firstLineChars="200"/>
        <w:jc w:val="both"/>
      </w:pPr>
      <w:r>
        <w:rPr>
          <w:rFonts w:ascii="仿宋_GB2312" w:hAnsi="仿宋_GB2312" w:eastAsia="仿宋_GB2312" w:cs="仿宋_GB2312"/>
          <w:color w:val="000000"/>
          <w:sz w:val="28"/>
        </w:rPr>
        <w:t>（1）化学试剂安全性（5分）：针对无水乙醇、甲醛、碘、碘化钾等化学试剂，供应商需提供产品合格证、MSDS（化学品安全技术说明书）及符合国家强制性标准的检测报告。资料齐全且有效的得5分；缺一项扣1分，扣完为止。</w:t>
      </w:r>
    </w:p>
    <w:p w14:paraId="4F3D4124">
      <w:pPr>
        <w:pStyle w:val="12"/>
        <w:spacing w:line="360" w:lineRule="auto"/>
        <w:ind w:firstLineChars="200"/>
        <w:jc w:val="both"/>
      </w:pPr>
      <w:r>
        <w:rPr>
          <w:rFonts w:ascii="仿宋_GB2312" w:hAnsi="仿宋_GB2312" w:eastAsia="仿宋_GB2312" w:cs="仿宋_GB2312"/>
          <w:color w:val="000000"/>
          <w:sz w:val="28"/>
        </w:rPr>
        <w:t>（2）医疗器械合规性（5分）：针对手术剪、眼科镊、注射器等涉及医疗器械管理的产品，供应商需提供相应的医疗器械注册证或备案凭证复印件，并加盖供应商公章。资料齐全且有效的得5分；缺一项扣1分，扣完为止。</w:t>
      </w:r>
    </w:p>
    <w:p w14:paraId="4A76C80A">
      <w:pPr>
        <w:pStyle w:val="12"/>
        <w:spacing w:line="360" w:lineRule="auto"/>
        <w:ind w:firstLineChars="200"/>
        <w:jc w:val="both"/>
      </w:pPr>
      <w:r>
        <w:rPr>
          <w:rFonts w:ascii="仿宋_GB2312" w:hAnsi="仿宋_GB2312" w:eastAsia="仿宋_GB2312" w:cs="仿宋_GB2312"/>
          <w:color w:val="000000"/>
          <w:sz w:val="28"/>
        </w:rPr>
        <w:t>3.供货方案与样品演示（10分）</w:t>
      </w:r>
    </w:p>
    <w:p w14:paraId="3DBEF3E9">
      <w:pPr>
        <w:pStyle w:val="12"/>
        <w:spacing w:line="360" w:lineRule="auto"/>
        <w:ind w:firstLineChars="200"/>
        <w:jc w:val="both"/>
      </w:pPr>
      <w:r>
        <w:rPr>
          <w:rFonts w:ascii="仿宋_GB2312" w:hAnsi="仿宋_GB2312" w:eastAsia="仿宋_GB2312" w:cs="仿宋_GB2312"/>
          <w:color w:val="000000"/>
          <w:sz w:val="28"/>
        </w:rPr>
        <w:t>（1）供货组织方案（5分）：评审委员会根据供应商提供的供货计划、运输方式、包装保护措施等进行横向比较。方案科学合理、针对性强、能确保货物完好无损送达指定地点的，得3-5分；方案一般，基本满足要求的，得1-2分；方案缺失或不合理的，得0分。</w:t>
      </w:r>
    </w:p>
    <w:p w14:paraId="3629C887">
      <w:pPr>
        <w:pStyle w:val="12"/>
        <w:spacing w:line="360" w:lineRule="auto"/>
        <w:ind w:firstLineChars="200"/>
        <w:jc w:val="both"/>
      </w:pPr>
      <w:r>
        <w:rPr>
          <w:rFonts w:ascii="仿宋_GB2312" w:hAnsi="仿宋_GB2312" w:eastAsia="仿宋_GB2312" w:cs="仿宋_GB2312"/>
          <w:color w:val="000000"/>
          <w:sz w:val="28"/>
        </w:rPr>
        <w:t>（2）样品或演示（5分）：对于易耗品或关键设备（如电子秤、增氧机、显微剪等），供应商可提供实物样品或视频演示。评审委员会根据样品的做工、精度、外观及演示效果进行打分。样品质量优良、演示清晰的得3-5分；样品质量一般、演示普通的得1-2分；未提供样品或演示无效的得0分。（注：若采购文件未明确要求提供样品，此项可调整为对供应商过往同类项目供货质量的案例佐证评价，但不得指向特定区域或行业）。</w:t>
      </w:r>
    </w:p>
    <w:p w14:paraId="7C895867">
      <w:pPr>
        <w:pStyle w:val="12"/>
        <w:spacing w:line="360" w:lineRule="auto"/>
        <w:ind w:firstLineChars="200"/>
        <w:jc w:val="both"/>
      </w:pPr>
      <w:r>
        <w:rPr>
          <w:rFonts w:ascii="仿宋_GB2312" w:hAnsi="仿宋_GB2312" w:eastAsia="仿宋_GB2312" w:cs="仿宋_GB2312"/>
          <w:b/>
          <w:color w:val="000000"/>
          <w:sz w:val="28"/>
        </w:rPr>
        <w:t>（三）商务部分（20分）</w:t>
      </w:r>
    </w:p>
    <w:p w14:paraId="0A796D30">
      <w:pPr>
        <w:pStyle w:val="12"/>
        <w:spacing w:line="360" w:lineRule="auto"/>
        <w:ind w:firstLineChars="200"/>
        <w:jc w:val="both"/>
      </w:pPr>
      <w:r>
        <w:rPr>
          <w:rFonts w:ascii="仿宋_GB2312" w:hAnsi="仿宋_GB2312" w:eastAsia="仿宋_GB2312" w:cs="仿宋_GB2312"/>
          <w:color w:val="000000"/>
          <w:sz w:val="28"/>
        </w:rPr>
        <w:t>商务部分主要评审供应商的履约能力、售后服务体系及类似业绩。</w:t>
      </w:r>
    </w:p>
    <w:p w14:paraId="260CF938">
      <w:pPr>
        <w:pStyle w:val="12"/>
        <w:spacing w:line="360" w:lineRule="auto"/>
        <w:ind w:firstLineChars="200"/>
        <w:jc w:val="both"/>
      </w:pPr>
      <w:r>
        <w:rPr>
          <w:rFonts w:ascii="仿宋_GB2312" w:hAnsi="仿宋_GB2312" w:eastAsia="仿宋_GB2312" w:cs="仿宋_GB2312"/>
          <w:color w:val="000000"/>
          <w:sz w:val="28"/>
        </w:rPr>
        <w:t>1.类似项目业绩（10分）</w:t>
      </w:r>
    </w:p>
    <w:p w14:paraId="063FF4CE">
      <w:pPr>
        <w:pStyle w:val="12"/>
        <w:spacing w:line="360" w:lineRule="auto"/>
        <w:ind w:firstLineChars="200"/>
        <w:jc w:val="both"/>
      </w:pPr>
      <w:r>
        <w:rPr>
          <w:rFonts w:ascii="仿宋_GB2312" w:hAnsi="仿宋_GB2312" w:eastAsia="仿宋_GB2312" w:cs="仿宋_GB2312"/>
          <w:color w:val="000000"/>
          <w:sz w:val="28"/>
        </w:rPr>
        <w:t>评审供应商自202</w:t>
      </w:r>
      <w:r>
        <w:rPr>
          <w:rFonts w:hint="eastAsia" w:cs="仿宋_GB2312"/>
          <w:color w:val="000000"/>
          <w:sz w:val="28"/>
          <w:lang w:val="en-US" w:eastAsia="zh-CN"/>
        </w:rPr>
        <w:t>3</w:t>
      </w:r>
      <w:r>
        <w:rPr>
          <w:rFonts w:ascii="仿宋_GB2312" w:hAnsi="仿宋_GB2312" w:eastAsia="仿宋_GB2312" w:cs="仿宋_GB2312"/>
          <w:color w:val="000000"/>
          <w:sz w:val="28"/>
        </w:rPr>
        <w:t>年</w:t>
      </w:r>
      <w:r>
        <w:rPr>
          <w:rFonts w:hint="eastAsia" w:cs="仿宋_GB2312"/>
          <w:color w:val="000000"/>
          <w:sz w:val="28"/>
          <w:lang w:val="en-US" w:eastAsia="zh-CN"/>
        </w:rPr>
        <w:t>9</w:t>
      </w:r>
      <w:r>
        <w:rPr>
          <w:rFonts w:ascii="仿宋_GB2312" w:hAnsi="仿宋_GB2312" w:eastAsia="仿宋_GB2312" w:cs="仿宋_GB2312"/>
          <w:color w:val="000000"/>
          <w:sz w:val="28"/>
        </w:rPr>
        <w:t>月</w:t>
      </w:r>
      <w:r>
        <w:rPr>
          <w:rFonts w:hint="eastAsia" w:cs="仿宋_GB2312"/>
          <w:color w:val="000000"/>
          <w:sz w:val="28"/>
          <w:lang w:val="en-US" w:eastAsia="zh-CN"/>
        </w:rPr>
        <w:t>1</w:t>
      </w:r>
      <w:r>
        <w:rPr>
          <w:rFonts w:ascii="仿宋_GB2312" w:hAnsi="仿宋_GB2312" w:eastAsia="仿宋_GB2312" w:cs="仿宋_GB2312"/>
          <w:color w:val="000000"/>
          <w:sz w:val="28"/>
        </w:rPr>
        <w:t>日以来（近三年内）完成的类似实验室耗材或渔政监测物资供货业绩。</w:t>
      </w:r>
    </w:p>
    <w:p w14:paraId="7D6D66CB">
      <w:pPr>
        <w:pStyle w:val="12"/>
        <w:spacing w:line="360" w:lineRule="auto"/>
        <w:ind w:firstLineChars="200"/>
        <w:jc w:val="both"/>
      </w:pPr>
      <w:r>
        <w:rPr>
          <w:rFonts w:ascii="仿宋_GB2312" w:hAnsi="仿宋_GB2312" w:eastAsia="仿宋_GB2312" w:cs="仿宋_GB2312"/>
          <w:color w:val="000000"/>
          <w:sz w:val="28"/>
        </w:rPr>
        <w:t>（1）每提供一份有效的类似项目合同复印件（含首页、标的页、签字盖章页）得2分，最高得10分。</w:t>
      </w:r>
    </w:p>
    <w:p w14:paraId="5FF60CA4">
      <w:pPr>
        <w:pStyle w:val="12"/>
        <w:spacing w:line="360" w:lineRule="auto"/>
        <w:ind w:firstLineChars="200"/>
        <w:jc w:val="both"/>
      </w:pPr>
      <w:r>
        <w:rPr>
          <w:rFonts w:ascii="仿宋_GB2312" w:hAnsi="仿宋_GB2312" w:eastAsia="仿宋_GB2312" w:cs="仿宋_GB2312"/>
          <w:color w:val="000000"/>
          <w:sz w:val="28"/>
        </w:rPr>
        <w:t>（2）限制条件：业绩认定不限定特定行政区域或特定行业，只要属于实验室耗材、生物监测物资或通用办公/实验用品供货范畴即可。不得将本地纳税、本地注册地作为加分条件。</w:t>
      </w:r>
    </w:p>
    <w:p w14:paraId="2D6FAA5D">
      <w:pPr>
        <w:pStyle w:val="12"/>
        <w:spacing w:line="360" w:lineRule="auto"/>
        <w:ind w:firstLineChars="200"/>
        <w:jc w:val="both"/>
      </w:pPr>
      <w:r>
        <w:rPr>
          <w:rFonts w:ascii="仿宋_GB2312" w:hAnsi="仿宋_GB2312" w:eastAsia="仿宋_GB2312" w:cs="仿宋_GB2312"/>
          <w:color w:val="000000"/>
          <w:sz w:val="28"/>
        </w:rPr>
        <w:t>2.售后服务承诺（6分）</w:t>
      </w:r>
    </w:p>
    <w:p w14:paraId="2D99C5E5">
      <w:pPr>
        <w:pStyle w:val="12"/>
        <w:spacing w:line="360" w:lineRule="auto"/>
        <w:ind w:firstLineChars="200"/>
        <w:jc w:val="both"/>
      </w:pPr>
      <w:r>
        <w:rPr>
          <w:rFonts w:ascii="仿宋_GB2312" w:hAnsi="仿宋_GB2312" w:eastAsia="仿宋_GB2312" w:cs="仿宋_GB2312"/>
          <w:color w:val="000000"/>
          <w:sz w:val="28"/>
        </w:rPr>
        <w:t>（1）质保期承诺（2分）：承诺质保期长于采购文件规定最低期限的，每增加半年加1分，最高2分。</w:t>
      </w:r>
    </w:p>
    <w:p w14:paraId="0D611885">
      <w:pPr>
        <w:pStyle w:val="12"/>
        <w:spacing w:line="360" w:lineRule="auto"/>
        <w:ind w:firstLineChars="200"/>
        <w:jc w:val="both"/>
      </w:pPr>
      <w:r>
        <w:rPr>
          <w:rFonts w:ascii="仿宋_GB2312" w:hAnsi="仿宋_GB2312" w:eastAsia="仿宋_GB2312" w:cs="仿宋_GB2312"/>
          <w:color w:val="000000"/>
          <w:sz w:val="28"/>
        </w:rPr>
        <w:t>（2）应急响应机制（2分）：提供详细的售后服务方案，包括故障报修响应时间、退换货流程、技术支持人员配置等。方案完善、响应迅速（如承诺2小时内响应，24小时内解决）的得2分；方案较完善的得1分；无明确方案的得0分。</w:t>
      </w:r>
    </w:p>
    <w:p w14:paraId="76E792B0">
      <w:pPr>
        <w:pStyle w:val="12"/>
        <w:spacing w:line="360" w:lineRule="auto"/>
        <w:ind w:firstLineChars="200"/>
        <w:jc w:val="both"/>
      </w:pPr>
      <w:r>
        <w:rPr>
          <w:rFonts w:ascii="仿宋_GB2312" w:hAnsi="仿宋_GB2312" w:eastAsia="仿宋_GB2312" w:cs="仿宋_GB2312"/>
          <w:color w:val="000000"/>
          <w:sz w:val="28"/>
        </w:rPr>
        <w:t>（3）培训服务（2分）：承诺免费提供产品使用培训或操作指导服务的，得2分；不提供或需额外收费的，得0分。</w:t>
      </w:r>
    </w:p>
    <w:p w14:paraId="42B0C3BA">
      <w:pPr>
        <w:pStyle w:val="12"/>
        <w:spacing w:line="360" w:lineRule="auto"/>
        <w:ind w:firstLineChars="200"/>
        <w:jc w:val="both"/>
      </w:pPr>
      <w:r>
        <w:rPr>
          <w:rFonts w:ascii="仿宋_GB2312" w:hAnsi="仿宋_GB2312" w:eastAsia="仿宋_GB2312" w:cs="仿宋_GB2312"/>
          <w:color w:val="000000"/>
          <w:sz w:val="28"/>
        </w:rPr>
        <w:t>3.节能环保政策落实（4分）</w:t>
      </w:r>
    </w:p>
    <w:p w14:paraId="3C0123A9">
      <w:pPr>
        <w:pStyle w:val="12"/>
        <w:spacing w:line="360" w:lineRule="auto"/>
        <w:ind w:firstLineChars="200"/>
        <w:jc w:val="both"/>
      </w:pPr>
      <w:r>
        <w:rPr>
          <w:rFonts w:ascii="仿宋_GB2312" w:hAnsi="仿宋_GB2312" w:eastAsia="仿宋_GB2312" w:cs="仿宋_GB2312"/>
          <w:color w:val="000000"/>
          <w:sz w:val="28"/>
        </w:rPr>
        <w:t>根据《中华人民共和国政府采购法》及相关政策规定，鼓励采购节能、环保产品。</w:t>
      </w:r>
    </w:p>
    <w:p w14:paraId="2EBAF5B1">
      <w:pPr>
        <w:pStyle w:val="12"/>
        <w:spacing w:line="360" w:lineRule="auto"/>
        <w:ind w:firstLineChars="200"/>
        <w:jc w:val="both"/>
      </w:pPr>
      <w:r>
        <w:rPr>
          <w:rFonts w:ascii="仿宋_GB2312" w:hAnsi="仿宋_GB2312" w:eastAsia="仿宋_GB2312" w:cs="仿宋_GB2312"/>
          <w:color w:val="000000"/>
          <w:sz w:val="28"/>
        </w:rPr>
        <w:t>（1）所投产品中包含列入国家最新一期《节能产品政府采购品目清单》或《环境标志产品政府采购品目清单》范围内的产品（如部分电子设备、包装材料等），每提供一项有效证明材料得1分，最高得4分。</w:t>
      </w:r>
    </w:p>
    <w:p w14:paraId="5FAF6825">
      <w:pPr>
        <w:pStyle w:val="12"/>
        <w:spacing w:line="360" w:lineRule="auto"/>
        <w:ind w:firstLineChars="200"/>
        <w:jc w:val="both"/>
      </w:pPr>
      <w:r>
        <w:rPr>
          <w:rFonts w:ascii="仿宋_GB2312" w:hAnsi="仿宋_GB2312" w:eastAsia="仿宋_GB2312" w:cs="仿宋_GB2312"/>
          <w:color w:val="000000"/>
          <w:sz w:val="28"/>
        </w:rPr>
        <w:t>（2）注：对于不在法定清单范围内的普通耗材，不得随意扩大解释为“绿色产品”进行加分，以确保评审标准的客观性和合法性。</w:t>
      </w:r>
    </w:p>
    <w:p w14:paraId="29E9EAF0">
      <w:pPr>
        <w:pStyle w:val="12"/>
        <w:spacing w:line="360" w:lineRule="auto"/>
        <w:ind w:firstLineChars="200"/>
        <w:jc w:val="both"/>
      </w:pPr>
      <w:r>
        <w:rPr>
          <w:rFonts w:ascii="仿宋_GB2312" w:hAnsi="仿宋_GB2312" w:eastAsia="仿宋_GB2312" w:cs="仿宋_GB2312"/>
          <w:b/>
          <w:color w:val="000000"/>
          <w:sz w:val="28"/>
        </w:rPr>
        <w:t>四、评审程序与结果确定</w:t>
      </w:r>
    </w:p>
    <w:p w14:paraId="3CBC6AF6">
      <w:pPr>
        <w:pStyle w:val="12"/>
        <w:spacing w:line="360" w:lineRule="auto"/>
        <w:ind w:firstLineChars="200"/>
        <w:jc w:val="both"/>
      </w:pPr>
      <w:r>
        <w:rPr>
          <w:rFonts w:ascii="仿宋_GB2312" w:hAnsi="仿宋_GB2312" w:eastAsia="仿宋_GB2312" w:cs="仿宋_GB2312"/>
          <w:color w:val="000000"/>
          <w:sz w:val="28"/>
        </w:rPr>
        <w:t>1.评审委员会成员应当独立对每个供应商的响应文件进行评价，并汇总每个供应商的得分。</w:t>
      </w:r>
    </w:p>
    <w:p w14:paraId="578A361C">
      <w:pPr>
        <w:pStyle w:val="12"/>
        <w:spacing w:line="360" w:lineRule="auto"/>
        <w:ind w:firstLineChars="200"/>
        <w:jc w:val="both"/>
      </w:pPr>
      <w:r>
        <w:rPr>
          <w:rFonts w:ascii="仿宋_GB2312" w:hAnsi="仿宋_GB2312" w:eastAsia="仿宋_GB2312" w:cs="仿宋_GB2312"/>
          <w:color w:val="000000"/>
          <w:sz w:val="28"/>
        </w:rPr>
        <w:t>2.评审过程中，不得去掉报价中的最高报价和最低报价。</w:t>
      </w:r>
    </w:p>
    <w:p w14:paraId="03773276">
      <w:pPr>
        <w:pStyle w:val="12"/>
        <w:spacing w:line="360" w:lineRule="auto"/>
        <w:ind w:firstLineChars="200"/>
        <w:jc w:val="both"/>
      </w:pPr>
      <w:r>
        <w:rPr>
          <w:rFonts w:ascii="仿宋_GB2312" w:hAnsi="仿宋_GB2312" w:eastAsia="仿宋_GB2312" w:cs="仿宋_GB2312"/>
          <w:color w:val="000000"/>
          <w:sz w:val="28"/>
        </w:rPr>
        <w:t>3.评审结束后，评审委员会按照总得分由高到低的顺序推荐成交候选人。总得分相同的，按投标报价由低到高顺序排列；得分且投标报价相同的，按技术部分得分高低顺序排列。</w:t>
      </w:r>
    </w:p>
    <w:p w14:paraId="023647AB">
      <w:pPr>
        <w:pStyle w:val="12"/>
        <w:spacing w:line="360" w:lineRule="auto"/>
        <w:ind w:firstLineChars="200"/>
        <w:jc w:val="both"/>
      </w:pPr>
      <w:r>
        <w:rPr>
          <w:rFonts w:ascii="仿宋_GB2312" w:hAnsi="仿宋_GB2312" w:eastAsia="仿宋_GB2312" w:cs="仿宋_GB2312"/>
          <w:color w:val="000000"/>
          <w:sz w:val="28"/>
        </w:rPr>
        <w:t>4.采购人根据评审委员会推荐的成交候选人顺序确定成交供应商。</w:t>
      </w:r>
    </w:p>
    <w:p w14:paraId="11B089F4">
      <w:pPr>
        <w:pStyle w:val="12"/>
        <w:spacing w:line="360" w:lineRule="auto"/>
        <w:ind w:firstLineChars="200"/>
        <w:jc w:val="both"/>
      </w:pPr>
      <w:r>
        <w:rPr>
          <w:rFonts w:ascii="仿宋_GB2312" w:hAnsi="仿宋_GB2312" w:eastAsia="仿宋_GB2312" w:cs="仿宋_GB2312"/>
          <w:color w:val="000000"/>
          <w:sz w:val="28"/>
        </w:rPr>
        <w:t>5.成交结果将在云南省农业农村厅网站等指定媒体公告。</w:t>
      </w:r>
    </w:p>
    <w:p w14:paraId="10E313B4">
      <w:pPr>
        <w:pStyle w:val="12"/>
        <w:spacing w:line="360" w:lineRule="auto"/>
        <w:ind w:firstLineChars="200"/>
        <w:jc w:val="both"/>
      </w:pPr>
      <w:r>
        <w:rPr>
          <w:rFonts w:ascii="仿宋_GB2312" w:hAnsi="仿宋_GB2312" w:eastAsia="仿宋_GB2312" w:cs="仿宋_GB2312"/>
          <w:b/>
          <w:color w:val="000000"/>
          <w:sz w:val="28"/>
        </w:rPr>
        <w:t>五、附则</w:t>
      </w:r>
    </w:p>
    <w:p w14:paraId="53644BAB">
      <w:pPr>
        <w:pStyle w:val="12"/>
        <w:spacing w:line="360" w:lineRule="auto"/>
        <w:ind w:firstLineChars="200"/>
        <w:jc w:val="both"/>
      </w:pPr>
      <w:r>
        <w:rPr>
          <w:rFonts w:ascii="仿宋_GB2312" w:hAnsi="仿宋_GB2312" w:eastAsia="仿宋_GB2312" w:cs="仿宋_GB2312"/>
          <w:color w:val="000000"/>
          <w:sz w:val="28"/>
        </w:rPr>
        <w:t>1.本评分标准未尽事宜，按照国家及云南省政府采购相关法律法规执行。</w:t>
      </w:r>
    </w:p>
    <w:p w14:paraId="7B8F82E8">
      <w:pPr>
        <w:pStyle w:val="12"/>
        <w:spacing w:line="360" w:lineRule="auto"/>
        <w:ind w:firstLineChars="200"/>
        <w:jc w:val="both"/>
      </w:pPr>
      <w:r>
        <w:rPr>
          <w:rFonts w:ascii="仿宋_GB2312" w:hAnsi="仿宋_GB2312" w:eastAsia="仿宋_GB2312" w:cs="仿宋_GB2312"/>
          <w:color w:val="000000"/>
          <w:sz w:val="28"/>
        </w:rPr>
        <w:t>2.本评分标准解释权归云南省渔业科学研究院所有。</w:t>
      </w:r>
    </w:p>
    <w:p w14:paraId="79A6B805">
      <w:pPr>
        <w:pStyle w:val="12"/>
        <w:spacing w:line="360" w:lineRule="auto"/>
        <w:ind w:firstLine="4760" w:firstLineChars="1700"/>
        <w:jc w:val="both"/>
      </w:pPr>
      <w:r>
        <w:rPr>
          <w:rFonts w:ascii="仿宋_GB2312" w:hAnsi="仿宋_GB2312" w:eastAsia="仿宋_GB2312" w:cs="仿宋_GB2312"/>
          <w:color w:val="000000"/>
          <w:sz w:val="28"/>
        </w:rPr>
        <w:t>云南省渔业科学研究院</w:t>
      </w:r>
    </w:p>
    <w:p w14:paraId="0691C084">
      <w:pPr>
        <w:pStyle w:val="12"/>
        <w:spacing w:line="360" w:lineRule="auto"/>
        <w:ind w:firstLine="5040" w:firstLineChars="1800"/>
        <w:jc w:val="both"/>
      </w:pPr>
      <w:r>
        <w:rPr>
          <w:rFonts w:hint="eastAsia" w:cs="仿宋_GB2312"/>
          <w:color w:val="000000"/>
          <w:sz w:val="28"/>
          <w:lang w:val="en-US" w:eastAsia="zh-CN"/>
        </w:rPr>
        <w:t>2026</w:t>
      </w:r>
      <w:r>
        <w:rPr>
          <w:rFonts w:ascii="仿宋_GB2312" w:hAnsi="仿宋_GB2312" w:eastAsia="仿宋_GB2312" w:cs="仿宋_GB2312"/>
          <w:color w:val="000000"/>
          <w:sz w:val="28"/>
        </w:rPr>
        <w:t>年</w:t>
      </w:r>
      <w:r>
        <w:rPr>
          <w:rFonts w:hint="eastAsia" w:cs="仿宋_GB2312"/>
          <w:color w:val="000000"/>
          <w:sz w:val="28"/>
          <w:lang w:val="en-US" w:eastAsia="zh-CN"/>
        </w:rPr>
        <w:t>9</w:t>
      </w:r>
      <w:r>
        <w:rPr>
          <w:rFonts w:ascii="仿宋_GB2312" w:hAnsi="仿宋_GB2312" w:eastAsia="仿宋_GB2312" w:cs="仿宋_GB2312"/>
          <w:color w:val="000000"/>
          <w:sz w:val="28"/>
        </w:rPr>
        <w:t>月</w:t>
      </w:r>
      <w:r>
        <w:rPr>
          <w:rFonts w:hint="eastAsia" w:cs="仿宋_GB2312"/>
          <w:color w:val="000000"/>
          <w:sz w:val="28"/>
          <w:lang w:val="en-US" w:eastAsia="zh-CN"/>
        </w:rPr>
        <w:t>14</w:t>
      </w:r>
      <w:r>
        <w:rPr>
          <w:rFonts w:ascii="仿宋_GB2312" w:hAnsi="仿宋_GB2312" w:eastAsia="仿宋_GB2312" w:cs="仿宋_GB2312"/>
          <w:color w:val="000000"/>
          <w:sz w:val="28"/>
        </w:rPr>
        <w:t>日</w:t>
      </w:r>
    </w:p>
    <w:p w14:paraId="3C849C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10" w:lineRule="atLeast"/>
        <w:ind w:right="0"/>
        <w:jc w:val="both"/>
        <w:rPr>
          <w:rFonts w:hint="eastAsia" w:ascii="微软雅黑" w:hAnsi="微软雅黑" w:eastAsia="微软雅黑" w:cs="微软雅黑"/>
          <w:i w:val="0"/>
          <w:iCs w:val="0"/>
          <w:caps w:val="0"/>
          <w:color w:val="333333"/>
          <w:spacing w:val="0"/>
          <w:sz w:val="24"/>
          <w:szCs w:val="24"/>
          <w:shd w:val="clear" w:fill="FFFFFF"/>
        </w:rPr>
      </w:pPr>
    </w:p>
    <w:p w14:paraId="3190B8B2">
      <w:pPr>
        <w:jc w:val="both"/>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4NGE5ZTllZDRmYWQ3YWQ1ZGNiNTAyOTI2N2IyNDEifQ=="/>
  </w:docVars>
  <w:rsids>
    <w:rsidRoot w:val="00BE3404"/>
    <w:rsid w:val="00097FD0"/>
    <w:rsid w:val="0017149B"/>
    <w:rsid w:val="00212DBA"/>
    <w:rsid w:val="00240ED7"/>
    <w:rsid w:val="00262616"/>
    <w:rsid w:val="00305058"/>
    <w:rsid w:val="003A0D6F"/>
    <w:rsid w:val="003B4F5C"/>
    <w:rsid w:val="004C6C39"/>
    <w:rsid w:val="00590A0E"/>
    <w:rsid w:val="005E7CC0"/>
    <w:rsid w:val="00607584"/>
    <w:rsid w:val="0062185B"/>
    <w:rsid w:val="00680801"/>
    <w:rsid w:val="007C64F0"/>
    <w:rsid w:val="007F0E0F"/>
    <w:rsid w:val="00862DF7"/>
    <w:rsid w:val="00863108"/>
    <w:rsid w:val="008C1499"/>
    <w:rsid w:val="009C2C17"/>
    <w:rsid w:val="00A90C9E"/>
    <w:rsid w:val="00B16CB8"/>
    <w:rsid w:val="00BA1B94"/>
    <w:rsid w:val="00BA23B5"/>
    <w:rsid w:val="00BE3404"/>
    <w:rsid w:val="00CE375F"/>
    <w:rsid w:val="00D67694"/>
    <w:rsid w:val="00DE6166"/>
    <w:rsid w:val="04F83852"/>
    <w:rsid w:val="099955CF"/>
    <w:rsid w:val="0ED10E55"/>
    <w:rsid w:val="1581734F"/>
    <w:rsid w:val="1FA834FD"/>
    <w:rsid w:val="24940192"/>
    <w:rsid w:val="27134AD7"/>
    <w:rsid w:val="27590790"/>
    <w:rsid w:val="300E7BA0"/>
    <w:rsid w:val="30D754AD"/>
    <w:rsid w:val="354D51C6"/>
    <w:rsid w:val="408F1FDB"/>
    <w:rsid w:val="47A70443"/>
    <w:rsid w:val="495B5413"/>
    <w:rsid w:val="55144405"/>
    <w:rsid w:val="57CD65BA"/>
    <w:rsid w:val="60D84E80"/>
    <w:rsid w:val="663366B5"/>
    <w:rsid w:val="67473B14"/>
    <w:rsid w:val="68FE6B7A"/>
    <w:rsid w:val="69626A73"/>
    <w:rsid w:val="6C6402DF"/>
    <w:rsid w:val="71FD2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 w:type="character" w:customStyle="1" w:styleId="11">
    <w:name w:val="qowt-font1-timesnewroman"/>
    <w:basedOn w:val="6"/>
    <w:qFormat/>
    <w:uiPriority w:val="0"/>
  </w:style>
  <w:style w:type="paragraph" w:customStyle="1" w:styleId="12">
    <w:name w:val="null5"/>
    <w:hidden/>
    <w:qFormat/>
    <w:uiPriority w:val="0"/>
    <w:rPr>
      <w:rFonts w:hint="eastAsia" w:ascii="仿宋_GB2312" w:hAnsi="仿宋_GB2312" w:eastAsia="仿宋_GB2312" w:cs="仿宋_GB2312"/>
      <w:sz w:val="24"/>
      <w:szCs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3366</Words>
  <Characters>3482</Characters>
  <Lines>8</Lines>
  <Paragraphs>2</Paragraphs>
  <TotalTime>14</TotalTime>
  <ScaleCrop>false</ScaleCrop>
  <LinksUpToDate>false</LinksUpToDate>
  <CharactersWithSpaces>3488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2023-10-07T07:52:00Z</dcterms:created>
  <dc:creator>微软中国</dc:creator>
  <cp:lastModifiedBy>zyh</cp:lastModifiedBy>
  <dcterms:modified xsi:type="dcterms:W3CDTF">2026-09-14T06:28:15Z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967709D0AC82447ABE494A96782BC94B_13</vt:lpwstr>
  </property>
  <property fmtid="{D5CDD505-2E9C-101B-9397-08002B2CF9AE}" pid="4" name="KSOTemplateDocerSaveRecord">
    <vt:lpwstr>eyJoZGlkIjoiNzI1MzljODBiNDliMzEyMzFlZWNlN2EzYjU0N2YzMWEiLCJ1c2VySWQiOiIzMTgwNjU0NzcifQ==</vt:lpwstr>
  </property>
</Properties>
</file>